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26BB" w14:textId="1850867B" w:rsidR="004E412F" w:rsidRPr="00FC7A1A" w:rsidRDefault="004E412F" w:rsidP="004E412F">
      <w:pPr>
        <w:ind w:right="720"/>
        <w:jc w:val="center"/>
      </w:pPr>
      <w:r w:rsidRPr="00FC7A1A">
        <w:rPr>
          <w:b/>
        </w:rPr>
        <w:t>DOCKET NO. 5</w:t>
      </w:r>
      <w:r w:rsidR="000B1CAF" w:rsidRPr="00FC7A1A">
        <w:rPr>
          <w:b/>
        </w:rPr>
        <w:t>6</w:t>
      </w:r>
      <w:r w:rsidR="00FC7A1A" w:rsidRPr="00FC7A1A">
        <w:rPr>
          <w:b/>
        </w:rPr>
        <w:t>963</w:t>
      </w:r>
    </w:p>
    <w:p w14:paraId="4B331F0D" w14:textId="77777777" w:rsidR="00505E7D" w:rsidRPr="00FC7A1A" w:rsidRDefault="00505E7D" w:rsidP="00505E7D">
      <w:pPr>
        <w:jc w:val="center"/>
      </w:pPr>
    </w:p>
    <w:tbl>
      <w:tblPr>
        <w:tblW w:w="9468" w:type="dxa"/>
        <w:shd w:val="clear" w:color="000000" w:fill="auto"/>
        <w:tblLook w:val="01E0" w:firstRow="1" w:lastRow="1" w:firstColumn="1" w:lastColumn="1" w:noHBand="0" w:noVBand="0"/>
      </w:tblPr>
      <w:tblGrid>
        <w:gridCol w:w="9684"/>
        <w:gridCol w:w="222"/>
        <w:gridCol w:w="222"/>
      </w:tblGrid>
      <w:tr w:rsidR="00C3208A" w:rsidRPr="00FC7A1A" w14:paraId="016CB154" w14:textId="77777777" w:rsidTr="005855D6">
        <w:tc>
          <w:tcPr>
            <w:tcW w:w="4500" w:type="dxa"/>
            <w:shd w:val="clear" w:color="000000" w:fill="auto"/>
          </w:tcPr>
          <w:tbl>
            <w:tblPr>
              <w:tblW w:w="9468" w:type="dxa"/>
              <w:jc w:val="center"/>
              <w:shd w:val="clear" w:color="000000" w:fill="auto"/>
              <w:tblLook w:val="01E0" w:firstRow="1" w:lastRow="1" w:firstColumn="1" w:lastColumn="1" w:noHBand="0" w:noVBand="0"/>
            </w:tblPr>
            <w:tblGrid>
              <w:gridCol w:w="4500"/>
              <w:gridCol w:w="540"/>
              <w:gridCol w:w="4428"/>
            </w:tblGrid>
            <w:tr w:rsidR="000B1CAF" w:rsidRPr="00FC7A1A" w14:paraId="00DB67B9" w14:textId="77777777" w:rsidTr="00543CEE">
              <w:trPr>
                <w:jc w:val="center"/>
              </w:trPr>
              <w:tc>
                <w:tcPr>
                  <w:tcW w:w="4500" w:type="dxa"/>
                  <w:shd w:val="clear" w:color="000000" w:fill="auto"/>
                </w:tcPr>
                <w:p w14:paraId="34F17587" w14:textId="77777777" w:rsidR="000B1CAF" w:rsidRPr="00FC7A1A" w:rsidRDefault="000B1CAF" w:rsidP="000B1CAF">
                  <w:pPr>
                    <w:jc w:val="left"/>
                    <w:rPr>
                      <w:b/>
                    </w:rPr>
                  </w:pPr>
                  <w:r w:rsidRPr="00FC7A1A">
                    <w:rPr>
                      <w:b/>
                    </w:rPr>
                    <w:t xml:space="preserve">APPLICATION OF ONCOR ELECTRIC DELIVERY COMPANY LLC FOR APPROVAL TO AMEND </w:t>
                  </w:r>
                </w:p>
                <w:p w14:paraId="2E36810E" w14:textId="6443DACC" w:rsidR="000B1CAF" w:rsidRPr="00FC7A1A" w:rsidRDefault="000B1CAF" w:rsidP="000B1CAF">
                  <w:pPr>
                    <w:jc w:val="left"/>
                    <w:rPr>
                      <w:b/>
                    </w:rPr>
                  </w:pPr>
                  <w:r w:rsidRPr="00FC7A1A">
                    <w:rPr>
                      <w:b/>
                    </w:rPr>
                    <w:t xml:space="preserve">ITS DISTRIBUTION COST RECOVERY FACTOR </w:t>
                  </w:r>
                </w:p>
              </w:tc>
              <w:tc>
                <w:tcPr>
                  <w:tcW w:w="540" w:type="dxa"/>
                  <w:shd w:val="clear" w:color="000000" w:fill="auto"/>
                </w:tcPr>
                <w:p w14:paraId="7C01B4B9" w14:textId="77777777" w:rsidR="000B1CAF" w:rsidRPr="00FC7A1A" w:rsidRDefault="000B1CAF" w:rsidP="000B1CAF">
                  <w:pPr>
                    <w:rPr>
                      <w:b/>
                    </w:rPr>
                  </w:pPr>
                  <w:r w:rsidRPr="00FC7A1A">
                    <w:rPr>
                      <w:b/>
                    </w:rPr>
                    <w:t>§</w:t>
                  </w:r>
                </w:p>
                <w:p w14:paraId="687F17B6" w14:textId="77777777" w:rsidR="000B1CAF" w:rsidRPr="00FC7A1A" w:rsidRDefault="000B1CAF" w:rsidP="000B1CAF">
                  <w:pPr>
                    <w:rPr>
                      <w:b/>
                    </w:rPr>
                  </w:pPr>
                  <w:r w:rsidRPr="00FC7A1A">
                    <w:rPr>
                      <w:b/>
                    </w:rPr>
                    <w:t>§</w:t>
                  </w:r>
                </w:p>
                <w:p w14:paraId="6EBDA0B8" w14:textId="77777777" w:rsidR="000B1CAF" w:rsidRPr="00FC7A1A" w:rsidRDefault="000B1CAF" w:rsidP="000B1CAF">
                  <w:pPr>
                    <w:rPr>
                      <w:b/>
                    </w:rPr>
                  </w:pPr>
                  <w:r w:rsidRPr="00FC7A1A">
                    <w:rPr>
                      <w:b/>
                    </w:rPr>
                    <w:t>§</w:t>
                  </w:r>
                </w:p>
                <w:p w14:paraId="7BCB997E" w14:textId="77777777" w:rsidR="000B1CAF" w:rsidRPr="00FC7A1A" w:rsidRDefault="000B1CAF" w:rsidP="000B1CAF">
                  <w:pPr>
                    <w:rPr>
                      <w:b/>
                    </w:rPr>
                  </w:pPr>
                  <w:r w:rsidRPr="00FC7A1A">
                    <w:rPr>
                      <w:b/>
                    </w:rPr>
                    <w:t>§</w:t>
                  </w:r>
                </w:p>
                <w:p w14:paraId="4CCC7148" w14:textId="77777777" w:rsidR="000B1CAF" w:rsidRPr="00FC7A1A" w:rsidRDefault="000B1CAF" w:rsidP="000B1CAF">
                  <w:pPr>
                    <w:rPr>
                      <w:b/>
                    </w:rPr>
                  </w:pPr>
                  <w:r w:rsidRPr="00FC7A1A">
                    <w:rPr>
                      <w:b/>
                    </w:rPr>
                    <w:t>§</w:t>
                  </w:r>
                </w:p>
                <w:p w14:paraId="5A22B065" w14:textId="1A2DB434" w:rsidR="000B1CAF" w:rsidRPr="00FC7A1A" w:rsidRDefault="000B1CAF" w:rsidP="000B1CAF">
                  <w:pPr>
                    <w:rPr>
                      <w:b/>
                    </w:rPr>
                  </w:pPr>
                </w:p>
              </w:tc>
              <w:tc>
                <w:tcPr>
                  <w:tcW w:w="4428" w:type="dxa"/>
                  <w:shd w:val="clear" w:color="000000" w:fill="auto"/>
                </w:tcPr>
                <w:p w14:paraId="118D06AF" w14:textId="77777777" w:rsidR="00FA79AA" w:rsidRPr="00FC7A1A" w:rsidRDefault="00FA79AA" w:rsidP="00FA79AA">
                  <w:pPr>
                    <w:jc w:val="center"/>
                    <w:rPr>
                      <w:b/>
                    </w:rPr>
                  </w:pPr>
                  <w:r w:rsidRPr="00FC7A1A">
                    <w:rPr>
                      <w:b/>
                    </w:rPr>
                    <w:t>BEFORE THE</w:t>
                  </w:r>
                </w:p>
                <w:p w14:paraId="7FD5F957" w14:textId="77777777" w:rsidR="000B1CAF" w:rsidRPr="00FC7A1A" w:rsidRDefault="000B1CAF" w:rsidP="000B1CAF">
                  <w:pPr>
                    <w:jc w:val="center"/>
                    <w:rPr>
                      <w:b/>
                    </w:rPr>
                  </w:pPr>
                </w:p>
                <w:p w14:paraId="6EEC6708" w14:textId="77777777" w:rsidR="000B1CAF" w:rsidRDefault="000B1CAF" w:rsidP="000B1CAF">
                  <w:pPr>
                    <w:jc w:val="center"/>
                    <w:rPr>
                      <w:b/>
                    </w:rPr>
                  </w:pPr>
                  <w:r w:rsidRPr="00FC7A1A">
                    <w:rPr>
                      <w:b/>
                    </w:rPr>
                    <w:t>PUBLIC UTILITY COMMISSION</w:t>
                  </w:r>
                </w:p>
                <w:p w14:paraId="21517353" w14:textId="77777777" w:rsidR="00FA79AA" w:rsidRPr="00FC7A1A" w:rsidRDefault="00FA79AA" w:rsidP="000B1CAF">
                  <w:pPr>
                    <w:jc w:val="center"/>
                    <w:rPr>
                      <w:b/>
                    </w:rPr>
                  </w:pPr>
                </w:p>
                <w:p w14:paraId="7E398CCC" w14:textId="77777777" w:rsidR="000B1CAF" w:rsidRPr="00FC7A1A" w:rsidRDefault="000B1CAF" w:rsidP="000B1CAF">
                  <w:pPr>
                    <w:jc w:val="center"/>
                    <w:rPr>
                      <w:b/>
                    </w:rPr>
                  </w:pPr>
                  <w:r w:rsidRPr="00FC7A1A">
                    <w:rPr>
                      <w:b/>
                    </w:rPr>
                    <w:t>OF TEXAS</w:t>
                  </w:r>
                </w:p>
              </w:tc>
            </w:tr>
          </w:tbl>
          <w:p w14:paraId="0E20FE59" w14:textId="512FE1AC" w:rsidR="00505E7D" w:rsidRPr="00FC7A1A" w:rsidRDefault="00505E7D" w:rsidP="00505E7D">
            <w:pPr>
              <w:jc w:val="left"/>
              <w:rPr>
                <w:b/>
              </w:rPr>
            </w:pPr>
          </w:p>
        </w:tc>
        <w:tc>
          <w:tcPr>
            <w:tcW w:w="540" w:type="dxa"/>
            <w:shd w:val="clear" w:color="000000" w:fill="auto"/>
          </w:tcPr>
          <w:p w14:paraId="091550AA" w14:textId="5544F31F" w:rsidR="00505E7D" w:rsidRPr="00FC7A1A" w:rsidRDefault="00505E7D" w:rsidP="005855D6">
            <w:pPr>
              <w:rPr>
                <w:b/>
              </w:rPr>
            </w:pPr>
          </w:p>
        </w:tc>
        <w:tc>
          <w:tcPr>
            <w:tcW w:w="4428" w:type="dxa"/>
            <w:shd w:val="clear" w:color="000000" w:fill="auto"/>
          </w:tcPr>
          <w:p w14:paraId="4C054674" w14:textId="749D6552" w:rsidR="00505E7D" w:rsidRPr="00FC7A1A" w:rsidRDefault="00505E7D" w:rsidP="005855D6">
            <w:pPr>
              <w:jc w:val="center"/>
              <w:rPr>
                <w:b/>
              </w:rPr>
            </w:pPr>
          </w:p>
        </w:tc>
      </w:tr>
    </w:tbl>
    <w:p w14:paraId="5D78B149" w14:textId="77777777" w:rsidR="00C2003E" w:rsidRPr="00FC7A1A" w:rsidRDefault="00C2003E" w:rsidP="00C2003E">
      <w:pPr>
        <w:widowControl w:val="0"/>
        <w:jc w:val="center"/>
        <w:rPr>
          <w:rFonts w:asciiTheme="majorBidi" w:hAnsiTheme="majorBidi" w:cstheme="majorBidi"/>
          <w:b/>
          <w:bCs/>
          <w:highlight w:val="yellow"/>
        </w:rPr>
      </w:pPr>
    </w:p>
    <w:p w14:paraId="2B739165" w14:textId="595E0E01" w:rsidR="00657333" w:rsidRPr="00FC7A1A" w:rsidRDefault="000B1CAF" w:rsidP="00657333">
      <w:pPr>
        <w:jc w:val="center"/>
        <w:rPr>
          <w:b/>
          <w:bCs/>
          <w:u w:val="single"/>
        </w:rPr>
      </w:pPr>
      <w:r w:rsidRPr="00FC7A1A">
        <w:rPr>
          <w:b/>
          <w:bCs/>
        </w:rPr>
        <w:t>ONCOR</w:t>
      </w:r>
      <w:r w:rsidR="0099741D" w:rsidRPr="00FC7A1A">
        <w:rPr>
          <w:b/>
          <w:bCs/>
        </w:rPr>
        <w:t xml:space="preserve"> ELECTRIC DELIVERY COMPANY LLC’S</w:t>
      </w:r>
      <w:r w:rsidRPr="00FC7A1A">
        <w:rPr>
          <w:b/>
          <w:bCs/>
        </w:rPr>
        <w:t xml:space="preserve"> </w:t>
      </w:r>
      <w:r w:rsidR="0020588A" w:rsidRPr="00FC7A1A">
        <w:rPr>
          <w:b/>
          <w:bCs/>
        </w:rPr>
        <w:t xml:space="preserve">REPLY TO </w:t>
      </w:r>
      <w:r w:rsidR="00037FEF">
        <w:rPr>
          <w:b/>
          <w:bCs/>
        </w:rPr>
        <w:t xml:space="preserve">OCSC </w:t>
      </w:r>
      <w:r w:rsidR="001624B7" w:rsidRPr="00FC7A1A">
        <w:rPr>
          <w:b/>
          <w:bCs/>
        </w:rPr>
        <w:t>EXCEPTION</w:t>
      </w:r>
      <w:r w:rsidR="009212F1" w:rsidRPr="00FC7A1A">
        <w:rPr>
          <w:b/>
          <w:bCs/>
        </w:rPr>
        <w:t>S</w:t>
      </w:r>
      <w:r w:rsidR="001624B7" w:rsidRPr="00FC7A1A">
        <w:rPr>
          <w:b/>
          <w:bCs/>
        </w:rPr>
        <w:t xml:space="preserve"> </w:t>
      </w:r>
      <w:r w:rsidR="001624B7" w:rsidRPr="00037FEF">
        <w:rPr>
          <w:b/>
          <w:bCs/>
          <w:u w:val="single"/>
        </w:rPr>
        <w:t>TO THE</w:t>
      </w:r>
      <w:r w:rsidR="001624B7" w:rsidRPr="00FC7A1A">
        <w:rPr>
          <w:b/>
          <w:bCs/>
          <w:u w:val="single"/>
        </w:rPr>
        <w:t xml:space="preserve"> PROPOSAL FOR DECISION</w:t>
      </w:r>
    </w:p>
    <w:p w14:paraId="2AC0CB69" w14:textId="410FAC30" w:rsidR="00684B3E" w:rsidRPr="00FC7A1A" w:rsidRDefault="00684B3E">
      <w:pPr>
        <w:jc w:val="center"/>
        <w:rPr>
          <w:b/>
          <w:bCs/>
          <w:highlight w:val="yellow"/>
          <w:u w:val="single"/>
        </w:rPr>
      </w:pPr>
    </w:p>
    <w:p w14:paraId="5F04387B" w14:textId="635E549F" w:rsidR="00466293" w:rsidRPr="00FC7A1A" w:rsidRDefault="004E412F" w:rsidP="00DA27EB">
      <w:pPr>
        <w:widowControl w:val="0"/>
        <w:spacing w:line="360" w:lineRule="auto"/>
        <w:rPr>
          <w:rFonts w:asciiTheme="majorBidi" w:hAnsiTheme="majorBidi" w:cstheme="majorBidi"/>
          <w:b/>
          <w:bCs/>
        </w:rPr>
      </w:pPr>
      <w:r w:rsidRPr="00FC7A1A">
        <w:rPr>
          <w:rFonts w:asciiTheme="majorBidi" w:hAnsiTheme="majorBidi" w:cstheme="majorBidi"/>
          <w:b/>
          <w:bCs/>
        </w:rPr>
        <w:t xml:space="preserve">TO THE HONORABLE </w:t>
      </w:r>
      <w:r w:rsidR="001624B7" w:rsidRPr="00FC7A1A">
        <w:rPr>
          <w:rFonts w:asciiTheme="majorBidi" w:hAnsiTheme="majorBidi" w:cstheme="majorBidi"/>
          <w:b/>
          <w:bCs/>
        </w:rPr>
        <w:t>PUBLIC UTILITY COMMISSION OF TEXAS</w:t>
      </w:r>
      <w:r w:rsidR="00CA5C97" w:rsidRPr="00FC7A1A">
        <w:rPr>
          <w:rFonts w:asciiTheme="majorBidi" w:hAnsiTheme="majorBidi" w:cstheme="majorBidi"/>
          <w:b/>
          <w:bCs/>
        </w:rPr>
        <w:t>:</w:t>
      </w:r>
    </w:p>
    <w:p w14:paraId="4C9F64CD" w14:textId="7156F90B" w:rsidR="00507E05" w:rsidRPr="001F5087" w:rsidRDefault="00CA5C97" w:rsidP="00B9285B">
      <w:pPr>
        <w:spacing w:line="360" w:lineRule="auto"/>
        <w:ind w:firstLine="720"/>
      </w:pPr>
      <w:r w:rsidRPr="00FC7A1A">
        <w:t>Oncor Electric Delivery Company LLC (“Oncor”</w:t>
      </w:r>
      <w:r w:rsidR="0088495A" w:rsidRPr="00FC7A1A">
        <w:t xml:space="preserve"> or the “Company”</w:t>
      </w:r>
      <w:r w:rsidRPr="00FC7A1A">
        <w:t>)</w:t>
      </w:r>
      <w:r w:rsidR="009C2EC3" w:rsidRPr="00FC7A1A">
        <w:t xml:space="preserve"> timely</w:t>
      </w:r>
      <w:r w:rsidRPr="00FC7A1A">
        <w:t xml:space="preserve"> </w:t>
      </w:r>
      <w:r w:rsidR="001624B7" w:rsidRPr="00FC7A1A">
        <w:t xml:space="preserve">files its </w:t>
      </w:r>
      <w:r w:rsidR="0020588A" w:rsidRPr="00FC7A1A">
        <w:t xml:space="preserve">Reply to </w:t>
      </w:r>
      <w:r w:rsidR="00037FEF">
        <w:t xml:space="preserve">OCSC </w:t>
      </w:r>
      <w:r w:rsidR="001624B7" w:rsidRPr="00FC7A1A">
        <w:t>Exception</w:t>
      </w:r>
      <w:r w:rsidR="009212F1" w:rsidRPr="00FC7A1A">
        <w:t>s</w:t>
      </w:r>
      <w:r w:rsidR="001624B7" w:rsidRPr="00FC7A1A">
        <w:t xml:space="preserve"> </w:t>
      </w:r>
      <w:r w:rsidR="001624B7" w:rsidRPr="00794540">
        <w:t>to the Proposal for Decision (“PFD”)</w:t>
      </w:r>
      <w:r w:rsidR="0020588A" w:rsidRPr="00794540">
        <w:t xml:space="preserve"> addressing </w:t>
      </w:r>
      <w:r w:rsidR="00794540" w:rsidRPr="00794540">
        <w:t>Oncor’s Application to update its</w:t>
      </w:r>
      <w:r w:rsidR="0020588A" w:rsidRPr="00794540">
        <w:t xml:space="preserve"> distribution cost recovery factor (“DCRF”).</w:t>
      </w:r>
      <w:r w:rsidR="00290E09" w:rsidRPr="00794540">
        <w:rPr>
          <w:rStyle w:val="FootnoteReference"/>
        </w:rPr>
        <w:footnoteReference w:id="1"/>
      </w:r>
      <w:r w:rsidR="0020588A" w:rsidRPr="00794540">
        <w:t xml:space="preserve">  The PFD was filed </w:t>
      </w:r>
      <w:r w:rsidR="0020588A" w:rsidRPr="001F5087">
        <w:t xml:space="preserve">on </w:t>
      </w:r>
      <w:r w:rsidR="00FC7A1A" w:rsidRPr="001F5087">
        <w:t>October 9</w:t>
      </w:r>
      <w:r w:rsidR="0020588A" w:rsidRPr="001F5087">
        <w:t>, 2024</w:t>
      </w:r>
      <w:r w:rsidR="009F0ADA">
        <w:t xml:space="preserve">, and the </w:t>
      </w:r>
      <w:r w:rsidR="009F0ADA" w:rsidRPr="001F5087">
        <w:t>Steering Committee of Cities Served by Oncor (“OCSC”)</w:t>
      </w:r>
      <w:r w:rsidR="009F0ADA">
        <w:t xml:space="preserve"> was the only party to file exceptions to the PFD</w:t>
      </w:r>
      <w:r w:rsidR="0020588A" w:rsidRPr="001F5087">
        <w:t xml:space="preserve">.  In support of this Reply to </w:t>
      </w:r>
      <w:r w:rsidR="00037FEF">
        <w:t xml:space="preserve">OCSC </w:t>
      </w:r>
      <w:r w:rsidR="0020588A" w:rsidRPr="001F5087">
        <w:t xml:space="preserve">Exceptions, Oncor respectfully </w:t>
      </w:r>
      <w:r w:rsidR="001624B7" w:rsidRPr="001F5087">
        <w:t>shows as follows</w:t>
      </w:r>
      <w:r w:rsidRPr="001F5087">
        <w:t>:</w:t>
      </w:r>
    </w:p>
    <w:p w14:paraId="4209D19D" w14:textId="68F65175" w:rsidR="00507E05" w:rsidRPr="001F5087" w:rsidRDefault="00CA5C97" w:rsidP="00507E05">
      <w:pPr>
        <w:spacing w:line="360" w:lineRule="auto"/>
        <w:jc w:val="center"/>
        <w:rPr>
          <w:b/>
        </w:rPr>
      </w:pPr>
      <w:r w:rsidRPr="001F5087">
        <w:rPr>
          <w:b/>
        </w:rPr>
        <w:t>I.</w:t>
      </w:r>
      <w:r w:rsidR="001624B7" w:rsidRPr="001F5087">
        <w:rPr>
          <w:b/>
        </w:rPr>
        <w:t xml:space="preserve"> </w:t>
      </w:r>
      <w:r w:rsidR="001624B7" w:rsidRPr="001F5087">
        <w:rPr>
          <w:b/>
        </w:rPr>
        <w:tab/>
      </w:r>
      <w:r w:rsidR="0094343A" w:rsidRPr="001F5087">
        <w:rPr>
          <w:b/>
          <w:u w:val="single"/>
        </w:rPr>
        <w:t>EXECUTIVE SUMMARY</w:t>
      </w:r>
    </w:p>
    <w:p w14:paraId="68BDAB41" w14:textId="6EB78D58" w:rsidR="0094343A" w:rsidRPr="00B542C2" w:rsidRDefault="00255711" w:rsidP="00DA27EB">
      <w:pPr>
        <w:spacing w:line="360" w:lineRule="auto"/>
        <w:ind w:firstLine="720"/>
      </w:pPr>
      <w:r w:rsidRPr="001F5087">
        <w:t>The purpose of a DCRF update is to periodically adjust, in a streamlined proceeding, an electric utility</w:t>
      </w:r>
      <w:r w:rsidR="00BE0D41" w:rsidRPr="001F5087">
        <w:t>’</w:t>
      </w:r>
      <w:r w:rsidRPr="001F5087">
        <w:t>s rates based on changes in invested capital categorized or functionalized as distribution plant, distribution-related intangible plant, and distribution-related communication equipment and networks.</w:t>
      </w:r>
      <w:r w:rsidRPr="001F5087">
        <w:rPr>
          <w:rStyle w:val="FootnoteReference"/>
        </w:rPr>
        <w:footnoteReference w:id="2"/>
      </w:r>
      <w:r w:rsidRPr="001F5087">
        <w:t xml:space="preserve">  DCRF proceeding</w:t>
      </w:r>
      <w:r w:rsidR="000E7AED" w:rsidRPr="001F5087">
        <w:t>s</w:t>
      </w:r>
      <w:r w:rsidRPr="001F5087">
        <w:t xml:space="preserve"> are limited</w:t>
      </w:r>
      <w:r w:rsidR="00DF1E94" w:rsidRPr="001F5087">
        <w:t xml:space="preserve"> </w:t>
      </w:r>
      <w:r w:rsidRPr="001F5087">
        <w:t>in</w:t>
      </w:r>
      <w:r w:rsidR="00DF1E94" w:rsidRPr="001F5087">
        <w:t xml:space="preserve"> </w:t>
      </w:r>
      <w:r w:rsidRPr="001F5087">
        <w:t xml:space="preserve">scope and </w:t>
      </w:r>
      <w:r w:rsidR="00BE0D41" w:rsidRPr="001F5087">
        <w:t xml:space="preserve">are </w:t>
      </w:r>
      <w:r w:rsidRPr="001F5087">
        <w:t xml:space="preserve">not base-rate cases.  This limitation on scope is clearly reflected in 16 Tex. Admin. Code (“TAC”) § 25.243, which states that the issues of whether distribution invested capital sought through a DCRF adjustment complies with PURA, including §§ 36.053 and 36.058, and is prudent, reasonable, and necessary </w:t>
      </w:r>
      <w:r w:rsidRPr="001F5087">
        <w:rPr>
          <w:i/>
          <w:iCs/>
        </w:rPr>
        <w:t>shall not</w:t>
      </w:r>
      <w:r w:rsidRPr="001F5087">
        <w:t xml:space="preserve"> be addressed in a DCRF proceeding except upon a finding of good cause.</w:t>
      </w:r>
      <w:r w:rsidRPr="001F5087">
        <w:rPr>
          <w:rStyle w:val="FootnoteReference"/>
        </w:rPr>
        <w:footnoteReference w:id="3"/>
      </w:r>
      <w:r w:rsidRPr="001F5087">
        <w:t xml:space="preserve">  </w:t>
      </w:r>
      <w:r w:rsidR="00EB2557">
        <w:t>No such finding of good cause has been made in this proceeding.  Further, i</w:t>
      </w:r>
      <w:r w:rsidR="00B542C2">
        <w:t xml:space="preserve">n Oncor’s most recent base-rate case, the </w:t>
      </w:r>
      <w:r w:rsidR="00DA5AC5">
        <w:t xml:space="preserve">Public Utility </w:t>
      </w:r>
      <w:r w:rsidR="00B542C2">
        <w:t xml:space="preserve">Commission </w:t>
      </w:r>
      <w:r w:rsidR="00DA5AC5">
        <w:t xml:space="preserve">of Texas (“Commission”) </w:t>
      </w:r>
      <w:r w:rsidR="00B542C2">
        <w:t>confirmed that “</w:t>
      </w:r>
      <w:r w:rsidR="00B542C2" w:rsidRPr="00B542C2">
        <w:t>[</w:t>
      </w:r>
      <w:proofErr w:type="spellStart"/>
      <w:r w:rsidR="00B542C2" w:rsidRPr="00B542C2">
        <w:t>i</w:t>
      </w:r>
      <w:proofErr w:type="spellEnd"/>
      <w:r w:rsidR="00B542C2" w:rsidRPr="00B542C2">
        <w:t>]</w:t>
      </w:r>
      <w:proofErr w:type="spellStart"/>
      <w:r w:rsidR="00B542C2" w:rsidRPr="00B542C2">
        <w:t>nterim</w:t>
      </w:r>
      <w:proofErr w:type="spellEnd"/>
      <w:r w:rsidR="00B542C2" w:rsidRPr="00B542C2">
        <w:t xml:space="preserve"> transmission cost of service and distribution cost recovery factor proceedings are both interim </w:t>
      </w:r>
      <w:r w:rsidR="00B542C2" w:rsidRPr="00B542C2">
        <w:lastRenderedPageBreak/>
        <w:t>updates that reserve reasonableness and prudence determinations for plant investments until the next base-rate proceeding.</w:t>
      </w:r>
      <w:r w:rsidR="00B542C2">
        <w:t>”</w:t>
      </w:r>
      <w:r w:rsidR="00B542C2">
        <w:rPr>
          <w:rStyle w:val="FootnoteReference"/>
        </w:rPr>
        <w:footnoteReference w:id="4"/>
      </w:r>
      <w:r w:rsidR="00B542C2">
        <w:t xml:space="preserve">  </w:t>
      </w:r>
      <w:r w:rsidRPr="001F5087">
        <w:t xml:space="preserve">Despite this clear instruction, the exceptions filed by OCSC </w:t>
      </w:r>
      <w:r w:rsidR="003F26A8">
        <w:t xml:space="preserve">suggest that </w:t>
      </w:r>
      <w:r w:rsidR="00DA5AC5">
        <w:t>it is improper to allow</w:t>
      </w:r>
      <w:r w:rsidR="003F26A8">
        <w:t xml:space="preserve"> Oncor to include distribution invested capital </w:t>
      </w:r>
      <w:r w:rsidR="00DA5AC5">
        <w:t xml:space="preserve">(specifically, meter, transformer, and capacitor reserves) </w:t>
      </w:r>
      <w:r w:rsidR="003F26A8">
        <w:t xml:space="preserve">in its adjusted rates </w:t>
      </w:r>
      <w:r w:rsidR="00DA5AC5">
        <w:t xml:space="preserve">set </w:t>
      </w:r>
      <w:r w:rsidR="003F26A8">
        <w:t xml:space="preserve">in this case before Oncor has made a full showing that such </w:t>
      </w:r>
      <w:r w:rsidR="003F26A8" w:rsidRPr="003F26A8">
        <w:t xml:space="preserve">investment is </w:t>
      </w:r>
      <w:r w:rsidR="00DA5AC5">
        <w:t>necessary</w:t>
      </w:r>
      <w:r w:rsidR="003F26A8" w:rsidRPr="003F26A8">
        <w:t xml:space="preserve"> to provide safe, reliable service to customers</w:t>
      </w:r>
      <w:r w:rsidR="005E7B5E" w:rsidRPr="003F26A8">
        <w:t xml:space="preserve">.  </w:t>
      </w:r>
      <w:r w:rsidR="004458E7" w:rsidRPr="003F26A8">
        <w:t xml:space="preserve">Not only </w:t>
      </w:r>
      <w:r w:rsidR="00B545F6" w:rsidRPr="003F26A8">
        <w:t>has</w:t>
      </w:r>
      <w:r w:rsidR="004458E7" w:rsidRPr="003F26A8">
        <w:t xml:space="preserve"> OCSC asserted exceptions that are improper to raise within a DCRF proceeding, but Oncor has already provided </w:t>
      </w:r>
      <w:r w:rsidR="00DF1E94" w:rsidRPr="003F26A8">
        <w:t xml:space="preserve">sufficient </w:t>
      </w:r>
      <w:r w:rsidR="004458E7" w:rsidRPr="003F26A8">
        <w:t>evidence—admitted into the record</w:t>
      </w:r>
      <w:r w:rsidR="004458E7" w:rsidRPr="003F26A8">
        <w:rPr>
          <w:rStyle w:val="FootnoteReference"/>
        </w:rPr>
        <w:footnoteReference w:id="5"/>
      </w:r>
      <w:r w:rsidR="004458E7" w:rsidRPr="003F26A8">
        <w:t xml:space="preserve">—showing that </w:t>
      </w:r>
      <w:r w:rsidR="003F26A8">
        <w:t>Oncor’s reserve levels for</w:t>
      </w:r>
      <w:r w:rsidR="003F26A8" w:rsidRPr="003F26A8">
        <w:t xml:space="preserve"> meter</w:t>
      </w:r>
      <w:r w:rsidR="00B542C2">
        <w:t>s</w:t>
      </w:r>
      <w:r w:rsidR="003F26A8" w:rsidRPr="003F26A8">
        <w:t xml:space="preserve">, </w:t>
      </w:r>
      <w:r w:rsidR="003F26A8" w:rsidRPr="00AD06A8">
        <w:t>transformer</w:t>
      </w:r>
      <w:r w:rsidR="00B542C2">
        <w:t>s</w:t>
      </w:r>
      <w:r w:rsidR="003F26A8" w:rsidRPr="00AD06A8">
        <w:t>, and capacitor</w:t>
      </w:r>
      <w:r w:rsidR="00B542C2">
        <w:t>s</w:t>
      </w:r>
      <w:r w:rsidR="003F26A8" w:rsidRPr="00AD06A8">
        <w:t xml:space="preserve"> </w:t>
      </w:r>
      <w:r w:rsidR="00B542C2" w:rsidRPr="00B542C2">
        <w:rPr>
          <w:i/>
          <w:iCs/>
        </w:rPr>
        <w:t>are</w:t>
      </w:r>
      <w:r w:rsidR="003F26A8" w:rsidRPr="00AD06A8">
        <w:t xml:space="preserve"> </w:t>
      </w:r>
      <w:r w:rsidR="00AD06A8" w:rsidRPr="00AD06A8">
        <w:t xml:space="preserve">justified, appropriate, and based on </w:t>
      </w:r>
      <w:r w:rsidR="00AD06A8" w:rsidRPr="00B542C2">
        <w:t>a meaningful set of factors</w:t>
      </w:r>
      <w:r w:rsidR="003F26A8" w:rsidRPr="00B542C2">
        <w:t>.</w:t>
      </w:r>
      <w:r w:rsidR="004458E7" w:rsidRPr="00B542C2">
        <w:t xml:space="preserve">  Thus, the Commission should deny OCSC’s exceptions in their entirety, as they </w:t>
      </w:r>
      <w:r w:rsidR="00DA5AC5">
        <w:t>fall outside of the scope of DCRF proceed</w:t>
      </w:r>
      <w:r w:rsidR="00B43484">
        <w:t>ings</w:t>
      </w:r>
      <w:r w:rsidR="00DA5AC5">
        <w:t xml:space="preserve"> and</w:t>
      </w:r>
      <w:r w:rsidR="004458E7" w:rsidRPr="00B542C2">
        <w:t xml:space="preserve"> </w:t>
      </w:r>
      <w:r w:rsidR="00DA5AC5">
        <w:t>they ignore</w:t>
      </w:r>
      <w:r w:rsidR="004458E7" w:rsidRPr="00B542C2">
        <w:t xml:space="preserve"> credible record evidence showing that, as </w:t>
      </w:r>
      <w:r w:rsidR="005C589A" w:rsidRPr="00B542C2">
        <w:t>Commission Staff recommended</w:t>
      </w:r>
      <w:r w:rsidR="005C589A" w:rsidRPr="00B542C2">
        <w:rPr>
          <w:rStyle w:val="FootnoteReference"/>
        </w:rPr>
        <w:footnoteReference w:id="6"/>
      </w:r>
      <w:r w:rsidR="005C589A" w:rsidRPr="00B542C2">
        <w:t xml:space="preserve"> and </w:t>
      </w:r>
      <w:r w:rsidR="004458E7" w:rsidRPr="00B542C2">
        <w:t xml:space="preserve">the </w:t>
      </w:r>
      <w:r w:rsidR="00037FEF">
        <w:t>Administrative Law Judge (“ALJ”)</w:t>
      </w:r>
      <w:r w:rsidR="004458E7" w:rsidRPr="00B542C2">
        <w:t xml:space="preserve"> concluded, O</w:t>
      </w:r>
      <w:r w:rsidR="004E2C74" w:rsidRPr="00B542C2">
        <w:t>n</w:t>
      </w:r>
      <w:r w:rsidR="004458E7" w:rsidRPr="00B542C2">
        <w:t>cor carried its burden in this docket.</w:t>
      </w:r>
    </w:p>
    <w:p w14:paraId="38BE19FB" w14:textId="5D68B19E" w:rsidR="004E2C74" w:rsidRPr="00B542C2" w:rsidRDefault="004E2C74" w:rsidP="004E2C74">
      <w:pPr>
        <w:spacing w:line="360" w:lineRule="auto"/>
        <w:jc w:val="center"/>
        <w:rPr>
          <w:b/>
        </w:rPr>
      </w:pPr>
      <w:r w:rsidRPr="00B542C2">
        <w:rPr>
          <w:b/>
        </w:rPr>
        <w:t xml:space="preserve">II. </w:t>
      </w:r>
      <w:r w:rsidRPr="00B542C2">
        <w:rPr>
          <w:b/>
        </w:rPr>
        <w:tab/>
      </w:r>
      <w:r w:rsidR="00B545F6" w:rsidRPr="00B542C2">
        <w:rPr>
          <w:b/>
          <w:u w:val="single"/>
        </w:rPr>
        <w:t xml:space="preserve">INVESTMENT IN </w:t>
      </w:r>
      <w:r w:rsidR="00E72ED4" w:rsidRPr="00B542C2">
        <w:rPr>
          <w:b/>
          <w:u w:val="single"/>
        </w:rPr>
        <w:t>METER, TRANSFORMER, AND CAPACITOR RESERVES</w:t>
      </w:r>
    </w:p>
    <w:p w14:paraId="5A9431D0" w14:textId="618FA333" w:rsidR="00B545F6" w:rsidRDefault="00BE237C" w:rsidP="00B545F6">
      <w:pPr>
        <w:spacing w:line="360" w:lineRule="auto"/>
        <w:ind w:firstLine="720"/>
      </w:pPr>
      <w:r w:rsidRPr="00B542C2">
        <w:t>While OCSC does not specify any particular findings of fact, conclusions of law, or ordering paragraphs</w:t>
      </w:r>
      <w:r w:rsidRPr="00E72ED4">
        <w:t xml:space="preserve"> to which it excepts, </w:t>
      </w:r>
      <w:r w:rsidR="009A134C" w:rsidRPr="00E72ED4">
        <w:t>OCSC</w:t>
      </w:r>
      <w:r w:rsidR="009A134C" w:rsidRPr="001F5087">
        <w:t xml:space="preserve"> </w:t>
      </w:r>
      <w:r w:rsidR="007D387A">
        <w:t xml:space="preserve">appears to </w:t>
      </w:r>
      <w:r w:rsidR="00995A60">
        <w:t xml:space="preserve">take issue with the ALJ’s </w:t>
      </w:r>
      <w:r w:rsidR="007D387A">
        <w:t>discussion on</w:t>
      </w:r>
      <w:r w:rsidR="00995A60">
        <w:t xml:space="preserve"> page 3 of the PFD in which the ALJ concludes that</w:t>
      </w:r>
      <w:r w:rsidR="00EB2557">
        <w:t>:</w:t>
      </w:r>
      <w:r w:rsidR="00995A60">
        <w:t xml:space="preserve"> (i) </w:t>
      </w:r>
      <w:r w:rsidR="007D387A">
        <w:t>Oncor’s</w:t>
      </w:r>
      <w:r w:rsidR="00995A60">
        <w:t xml:space="preserve"> </w:t>
      </w:r>
      <w:r w:rsidR="007D387A">
        <w:t>investments</w:t>
      </w:r>
      <w:r w:rsidR="00995A60">
        <w:t xml:space="preserve"> in reserve meters, </w:t>
      </w:r>
      <w:r w:rsidR="007D387A">
        <w:t>transformers</w:t>
      </w:r>
      <w:r w:rsidR="00995A60">
        <w:t xml:space="preserve">, and capacitors have </w:t>
      </w:r>
      <w:r w:rsidR="007D387A">
        <w:t>b</w:t>
      </w:r>
      <w:r w:rsidR="00995A60">
        <w:t xml:space="preserve">een properly </w:t>
      </w:r>
      <w:r w:rsidR="007D387A">
        <w:t>categorized</w:t>
      </w:r>
      <w:r w:rsidR="00995A60">
        <w:t xml:space="preserve"> or </w:t>
      </w:r>
      <w:r w:rsidR="007D387A">
        <w:t>functionalized</w:t>
      </w:r>
      <w:r w:rsidR="00995A60">
        <w:t xml:space="preserve"> by Oncor</w:t>
      </w:r>
      <w:r w:rsidR="007D387A">
        <w:t xml:space="preserve"> and </w:t>
      </w:r>
      <w:r w:rsidR="00995A60">
        <w:t xml:space="preserve">properly recorded in </w:t>
      </w:r>
      <w:r w:rsidR="00DA5AC5">
        <w:t xml:space="preserve">Federal Energy Regulatory Commission </w:t>
      </w:r>
      <w:r w:rsidR="00995A60">
        <w:t xml:space="preserve">accounts 368 and 370, and are thus </w:t>
      </w:r>
      <w:r w:rsidR="007D387A">
        <w:t>eligible</w:t>
      </w:r>
      <w:r w:rsidR="00995A60">
        <w:t xml:space="preserve"> for inclusion </w:t>
      </w:r>
      <w:r w:rsidR="007D387A">
        <w:t>under</w:t>
      </w:r>
      <w:r w:rsidR="00995A60">
        <w:t xml:space="preserve"> the Commission’s DCRF rule</w:t>
      </w:r>
      <w:r w:rsidR="00EB2557">
        <w:t>;</w:t>
      </w:r>
      <w:r w:rsidR="00995A60">
        <w:t xml:space="preserve"> and (ii) Oncor does not have to </w:t>
      </w:r>
      <w:r w:rsidR="007D387A">
        <w:t>demonstrate</w:t>
      </w:r>
      <w:r w:rsidR="00995A60">
        <w:t xml:space="preserve">, at this time, the prudence, </w:t>
      </w:r>
      <w:r w:rsidR="007D387A">
        <w:t>reasonableness</w:t>
      </w:r>
      <w:r w:rsidR="00995A60">
        <w:t xml:space="preserve">, and </w:t>
      </w:r>
      <w:r w:rsidR="007D387A">
        <w:t>necessity</w:t>
      </w:r>
      <w:r w:rsidR="00995A60">
        <w:t xml:space="preserve"> of its reserve levels.</w:t>
      </w:r>
      <w:r w:rsidR="007D387A">
        <w:rPr>
          <w:rStyle w:val="FootnoteReference"/>
        </w:rPr>
        <w:footnoteReference w:id="7"/>
      </w:r>
      <w:r w:rsidR="00995A60">
        <w:t xml:space="preserve"> </w:t>
      </w:r>
      <w:r w:rsidR="007D387A">
        <w:t xml:space="preserve"> </w:t>
      </w:r>
      <w:r w:rsidR="00995A60">
        <w:t xml:space="preserve">OCSC complains that the </w:t>
      </w:r>
      <w:r w:rsidR="007D387A">
        <w:t xml:space="preserve">ALJ </w:t>
      </w:r>
      <w:r w:rsidR="00995A60">
        <w:t xml:space="preserve">incorrectly fails to discuss the </w:t>
      </w:r>
      <w:r w:rsidR="007D387A">
        <w:t>“</w:t>
      </w:r>
      <w:r w:rsidR="00995A60">
        <w:t xml:space="preserve">lack of </w:t>
      </w:r>
      <w:r w:rsidR="007D387A">
        <w:t>sufficient</w:t>
      </w:r>
      <w:r w:rsidR="00995A60">
        <w:t xml:space="preserve"> evidence provided by Oncor to </w:t>
      </w:r>
      <w:r w:rsidR="007D387A">
        <w:t>demonstrate</w:t>
      </w:r>
      <w:r w:rsidR="00995A60">
        <w:t xml:space="preserve"> the </w:t>
      </w:r>
      <w:r w:rsidR="007D387A">
        <w:t xml:space="preserve">increased </w:t>
      </w:r>
      <w:r w:rsidR="00995A60">
        <w:t xml:space="preserve">investment in </w:t>
      </w:r>
      <w:r w:rsidR="007D387A">
        <w:t xml:space="preserve">reserve </w:t>
      </w:r>
      <w:r w:rsidR="00995A60">
        <w:t xml:space="preserve">meters, </w:t>
      </w:r>
      <w:r w:rsidR="007D387A">
        <w:t>transformers</w:t>
      </w:r>
      <w:r w:rsidR="00995A60">
        <w:t xml:space="preserve">, and </w:t>
      </w:r>
      <w:r w:rsidR="007D387A">
        <w:t>capacitors</w:t>
      </w:r>
      <w:r w:rsidR="00995A60">
        <w:t xml:space="preserve"> should be allowed in DC</w:t>
      </w:r>
      <w:r w:rsidR="007D387A">
        <w:t>R</w:t>
      </w:r>
      <w:r w:rsidR="00995A60">
        <w:t>F plant in service,</w:t>
      </w:r>
      <w:r w:rsidR="007D387A">
        <w:t>”</w:t>
      </w:r>
      <w:r w:rsidR="007D387A">
        <w:rPr>
          <w:rStyle w:val="FootnoteReference"/>
        </w:rPr>
        <w:footnoteReference w:id="8"/>
      </w:r>
      <w:r w:rsidR="00995A60">
        <w:t xml:space="preserve"> and that the </w:t>
      </w:r>
      <w:r w:rsidR="00E72ED4">
        <w:t xml:space="preserve">ALJ was </w:t>
      </w:r>
      <w:r w:rsidR="007D387A">
        <w:t>“</w:t>
      </w:r>
      <w:r w:rsidR="00E72ED4">
        <w:t xml:space="preserve">silent in his </w:t>
      </w:r>
      <w:r w:rsidR="007D387A">
        <w:t>analysis</w:t>
      </w:r>
      <w:r w:rsidR="00E72ED4">
        <w:t xml:space="preserve"> of OCSC’s</w:t>
      </w:r>
      <w:r w:rsidR="00995A60">
        <w:t xml:space="preserve"> recommendation that a </w:t>
      </w:r>
      <w:r w:rsidR="007D387A">
        <w:t>portion</w:t>
      </w:r>
      <w:r w:rsidR="00995A60">
        <w:t xml:space="preserve"> of these reserve meters, </w:t>
      </w:r>
      <w:r w:rsidR="007D387A">
        <w:t>transformers</w:t>
      </w:r>
      <w:r w:rsidR="00995A60">
        <w:t xml:space="preserve">, and capacitors were </w:t>
      </w:r>
      <w:r w:rsidR="00995A60">
        <w:lastRenderedPageBreak/>
        <w:t xml:space="preserve">excessive of an </w:t>
      </w:r>
      <w:r w:rsidR="007D387A">
        <w:t>appropriate</w:t>
      </w:r>
      <w:r w:rsidR="00995A60">
        <w:t xml:space="preserve"> level of reserves</w:t>
      </w:r>
      <w:r w:rsidR="007D387A">
        <w:t>.”</w:t>
      </w:r>
      <w:r w:rsidR="007D387A">
        <w:rPr>
          <w:rStyle w:val="FootnoteReference"/>
        </w:rPr>
        <w:footnoteReference w:id="9"/>
      </w:r>
      <w:r w:rsidR="00995A60">
        <w:t xml:space="preserve"> </w:t>
      </w:r>
      <w:r w:rsidR="007D387A">
        <w:t xml:space="preserve"> </w:t>
      </w:r>
      <w:r w:rsidR="00945B3E" w:rsidRPr="00F2598C">
        <w:t xml:space="preserve">The PFD </w:t>
      </w:r>
      <w:r w:rsidR="0025720B" w:rsidRPr="00F2598C">
        <w:t>in this case</w:t>
      </w:r>
      <w:r w:rsidR="00DC6FFE">
        <w:t xml:space="preserve">, however, </w:t>
      </w:r>
      <w:r w:rsidR="00995A60">
        <w:t xml:space="preserve">was </w:t>
      </w:r>
      <w:r w:rsidR="00995A60" w:rsidRPr="007D387A">
        <w:rPr>
          <w:i/>
          <w:iCs/>
        </w:rPr>
        <w:t>not</w:t>
      </w:r>
      <w:r w:rsidR="00995A60">
        <w:t xml:space="preserve"> silent as to the ALJ’s analysis of OCSC’s con</w:t>
      </w:r>
      <w:r w:rsidR="007D387A">
        <w:t>t</w:t>
      </w:r>
      <w:r w:rsidR="00995A60">
        <w:t>entions</w:t>
      </w:r>
      <w:r w:rsidR="00DA5AC5">
        <w:t>.  R</w:t>
      </w:r>
      <w:r w:rsidR="00995A60">
        <w:t xml:space="preserve">ather, </w:t>
      </w:r>
      <w:r w:rsidR="007D387A">
        <w:t>the PFD</w:t>
      </w:r>
      <w:r w:rsidR="00995A60">
        <w:t xml:space="preserve"> referenced </w:t>
      </w:r>
      <w:r w:rsidR="00600A39">
        <w:t>those contentions and OCSC’s testimony</w:t>
      </w:r>
      <w:r w:rsidR="00600A39">
        <w:rPr>
          <w:rStyle w:val="FootnoteReference"/>
        </w:rPr>
        <w:footnoteReference w:id="10"/>
      </w:r>
      <w:r w:rsidR="00600A39">
        <w:t xml:space="preserve"> and then referred to </w:t>
      </w:r>
      <w:r w:rsidR="007D387A">
        <w:t>Oncor’s</w:t>
      </w:r>
      <w:r w:rsidR="00995A60">
        <w:t xml:space="preserve"> explanation in Mr. Coler D. </w:t>
      </w:r>
      <w:proofErr w:type="spellStart"/>
      <w:r w:rsidR="00995A60">
        <w:t>Snelleman’s</w:t>
      </w:r>
      <w:proofErr w:type="spellEnd"/>
      <w:r w:rsidR="00995A60">
        <w:t xml:space="preserve"> rebuttal testimony concerning factors that </w:t>
      </w:r>
      <w:r w:rsidR="00600A39">
        <w:t>Oncor</w:t>
      </w:r>
      <w:r w:rsidR="00995A60">
        <w:t xml:space="preserve"> </w:t>
      </w:r>
      <w:r w:rsidR="00600A39">
        <w:t>considers</w:t>
      </w:r>
      <w:r w:rsidR="00995A60">
        <w:t xml:space="preserve"> when determining its meter, transformer, and capacitor reserves.</w:t>
      </w:r>
      <w:r w:rsidR="00E72ED4">
        <w:rPr>
          <w:rStyle w:val="FootnoteReference"/>
        </w:rPr>
        <w:footnoteReference w:id="11"/>
      </w:r>
      <w:r w:rsidR="00995A60">
        <w:t xml:space="preserve"> </w:t>
      </w:r>
      <w:r w:rsidR="00600A39">
        <w:t xml:space="preserve"> </w:t>
      </w:r>
      <w:r w:rsidR="00DC6FFE">
        <w:t xml:space="preserve">Specifically, Mr. </w:t>
      </w:r>
      <w:proofErr w:type="spellStart"/>
      <w:r w:rsidR="00DC6FFE">
        <w:t>Snelleman’s</w:t>
      </w:r>
      <w:proofErr w:type="spellEnd"/>
      <w:r w:rsidR="00DC6FFE">
        <w:t xml:space="preserve"> direct testimony explain</w:t>
      </w:r>
      <w:r w:rsidR="00DA5AC5">
        <w:t>s</w:t>
      </w:r>
      <w:r w:rsidR="00DC6FFE">
        <w:t xml:space="preserve"> that there are </w:t>
      </w:r>
      <w:r w:rsidR="00DC6FFE" w:rsidRPr="00DC6FFE">
        <w:t>multiple operational reasons why Oncor must acquire and hold a sufficient number of meter, transformer, and capacitor reserves to ensure that the Company is prepared and able to provide service to new customers and maintain its provision of reliable service to existing customers</w:t>
      </w:r>
      <w:r w:rsidR="00DC6FFE">
        <w:t xml:space="preserve">, and </w:t>
      </w:r>
      <w:r w:rsidR="00DA5AC5">
        <w:t>he</w:t>
      </w:r>
      <w:r w:rsidR="00DC6FFE">
        <w:t xml:space="preserve"> discusses how the</w:t>
      </w:r>
      <w:r w:rsidR="00DC6FFE" w:rsidRPr="00DC6FFE">
        <w:t xml:space="preserve"> replacement needs for already installed units, variable manufacturing lead times, customer-service dates, and manufacturer plant </w:t>
      </w:r>
      <w:r w:rsidR="00DC6FFE">
        <w:t>closures</w:t>
      </w:r>
      <w:r w:rsidR="00DC6FFE" w:rsidRPr="00DC6FFE">
        <w:t xml:space="preserve"> at year end for the holidays influence the determination of work</w:t>
      </w:r>
      <w:r w:rsidR="00DA5AC5">
        <w:t>ing</w:t>
      </w:r>
      <w:r w:rsidR="00DC6FFE" w:rsidRPr="00DC6FFE">
        <w:t xml:space="preserve"> reserves.</w:t>
      </w:r>
      <w:r w:rsidR="00DC6FFE">
        <w:rPr>
          <w:rStyle w:val="FootnoteReference"/>
        </w:rPr>
        <w:footnoteReference w:id="12"/>
      </w:r>
      <w:r w:rsidR="00DC6FFE" w:rsidRPr="00DC6FFE">
        <w:t xml:space="preserve"> </w:t>
      </w:r>
      <w:r w:rsidR="00DC6FFE">
        <w:t xml:space="preserve"> His rebuttal testimony further explains how, contrary to OCSC witness Mr. </w:t>
      </w:r>
      <w:proofErr w:type="spellStart"/>
      <w:r w:rsidR="00DC6FFE">
        <w:t>Nalepa’s</w:t>
      </w:r>
      <w:proofErr w:type="spellEnd"/>
      <w:r w:rsidR="00DC6FFE">
        <w:t xml:space="preserve"> oversimplification, </w:t>
      </w:r>
      <w:r w:rsidR="00DC6FFE" w:rsidRPr="00DC6FFE">
        <w:t>the Company</w:t>
      </w:r>
      <w:r w:rsidR="00DA5AC5">
        <w:t>’</w:t>
      </w:r>
      <w:r w:rsidR="00DC6FFE" w:rsidRPr="00DC6FFE">
        <w:t>s reserve level needs do not increase at the same rate as its customer count grows</w:t>
      </w:r>
      <w:r w:rsidR="00DC6FFE">
        <w:t xml:space="preserve">; </w:t>
      </w:r>
      <w:r w:rsidR="00DA5AC5">
        <w:t>instead</w:t>
      </w:r>
      <w:r w:rsidR="00DC6FFE">
        <w:t>,</w:t>
      </w:r>
      <w:r w:rsidR="00DC6FFE" w:rsidRPr="00DC6FFE">
        <w:t xml:space="preserve"> other factors discussed </w:t>
      </w:r>
      <w:r w:rsidR="00DC6FFE">
        <w:t>in his direct and rebuttal</w:t>
      </w:r>
      <w:r w:rsidR="00DC6FFE" w:rsidRPr="00DC6FFE">
        <w:t xml:space="preserve"> testimony</w:t>
      </w:r>
      <w:r w:rsidR="00DC6FFE">
        <w:t xml:space="preserve"> (including but not limited to the continuing general supply chain uncertainty and disruption that began in 2020)</w:t>
      </w:r>
      <w:r w:rsidR="00DC6FFE" w:rsidRPr="00DC6FFE">
        <w:t xml:space="preserve"> heavily influence the determination of the appropriate reserve levels</w:t>
      </w:r>
      <w:r w:rsidR="00DC6FFE">
        <w:t>.</w:t>
      </w:r>
      <w:r w:rsidR="00DC6FFE">
        <w:rPr>
          <w:rStyle w:val="FootnoteReference"/>
        </w:rPr>
        <w:footnoteReference w:id="13"/>
      </w:r>
      <w:r w:rsidR="00DC6FFE">
        <w:t xml:space="preserve">  </w:t>
      </w:r>
      <w:r w:rsidR="00600A39">
        <w:t>Thus, contrary to OCSC’s allegations, the ALJ discussed and considered both sides of this argument.</w:t>
      </w:r>
      <w:r w:rsidR="00995A60">
        <w:t xml:space="preserve"> </w:t>
      </w:r>
      <w:r w:rsidR="00600A39">
        <w:t xml:space="preserve"> </w:t>
      </w:r>
      <w:r w:rsidR="00995A60">
        <w:t xml:space="preserve">The </w:t>
      </w:r>
      <w:r w:rsidR="00DA5AC5">
        <w:t>ALJ</w:t>
      </w:r>
      <w:r w:rsidR="00995A60">
        <w:t xml:space="preserve"> then ultimately agrees with </w:t>
      </w:r>
      <w:r w:rsidR="00600A39">
        <w:t>Oncor’s</w:t>
      </w:r>
      <w:r w:rsidR="00995A60">
        <w:t xml:space="preserve"> position on this issue</w:t>
      </w:r>
      <w:r w:rsidR="00E72ED4">
        <w:t>.</w:t>
      </w:r>
      <w:r w:rsidR="00945B3E" w:rsidRPr="00F2598C">
        <w:t xml:space="preserve"> </w:t>
      </w:r>
      <w:r w:rsidR="00D90A4D" w:rsidRPr="00F2598C">
        <w:t>In reaching the correct conclusion, the</w:t>
      </w:r>
      <w:r w:rsidR="00B322BE" w:rsidRPr="00F2598C">
        <w:t xml:space="preserve"> </w:t>
      </w:r>
      <w:r w:rsidR="00B322BE" w:rsidRPr="00600A39">
        <w:t>ALJ recognized two key</w:t>
      </w:r>
      <w:r w:rsidR="00B322BE" w:rsidRPr="00F2598C">
        <w:t xml:space="preserve"> points that OCSC continues to miss</w:t>
      </w:r>
      <w:r w:rsidR="00F2598C">
        <w:t xml:space="preserve">.  </w:t>
      </w:r>
    </w:p>
    <w:p w14:paraId="6A3E29EF" w14:textId="3FCE9844" w:rsidR="00F2598C" w:rsidRPr="0021632E" w:rsidRDefault="00F2598C" w:rsidP="00B545F6">
      <w:pPr>
        <w:spacing w:line="360" w:lineRule="auto"/>
        <w:ind w:firstLine="720"/>
      </w:pPr>
      <w:r>
        <w:t xml:space="preserve">First, the issue of whether </w:t>
      </w:r>
      <w:r w:rsidR="005330DA">
        <w:t>Oncor has provided sufficient evidence supporting – as OCSC characterizes it – the “excess” reserve meters, transformers, and capacitors begs the threshold question of what level of reserves is appropriate and what level would be considered</w:t>
      </w:r>
      <w:r w:rsidR="002F389B">
        <w:t xml:space="preserve"> to be</w:t>
      </w:r>
      <w:r w:rsidR="005330DA">
        <w:t xml:space="preserve"> in excess of the amount needed to provide safe, reliable electric service.  This</w:t>
      </w:r>
      <w:r>
        <w:t xml:space="preserve"> is an issue that boils down to reasonableness, necessity, and prudence of investment</w:t>
      </w:r>
      <w:r w:rsidR="005330DA">
        <w:t xml:space="preserve">: i.e., did the utility purchase more meters, transformers, or capacitors than it needs to perform its obligation of providing safe, reliable service </w:t>
      </w:r>
      <w:r w:rsidR="005330DA">
        <w:lastRenderedPageBreak/>
        <w:t>to customers</w:t>
      </w:r>
      <w:r w:rsidR="003C67BA">
        <w:t xml:space="preserve">, thus </w:t>
      </w:r>
      <w:r w:rsidR="00B43484">
        <w:t>rendering</w:t>
      </w:r>
      <w:r w:rsidR="003C67BA">
        <w:t xml:space="preserve"> </w:t>
      </w:r>
      <w:r w:rsidR="00C622F7">
        <w:t>a</w:t>
      </w:r>
      <w:r w:rsidR="002F389B">
        <w:t xml:space="preserve"> portion of its</w:t>
      </w:r>
      <w:r w:rsidR="003C67BA">
        <w:t xml:space="preserve"> investment unreasonable, unnecessary, </w:t>
      </w:r>
      <w:r w:rsidR="002F389B">
        <w:t>or</w:t>
      </w:r>
      <w:r w:rsidR="003C67BA">
        <w:t xml:space="preserve"> imprudent?  </w:t>
      </w:r>
      <w:r w:rsidR="002F389B">
        <w:t>As explained above, this</w:t>
      </w:r>
      <w:r w:rsidR="005330DA">
        <w:t xml:space="preserve"> issue falls entirely</w:t>
      </w:r>
      <w:r>
        <w:t xml:space="preserve"> outside </w:t>
      </w:r>
      <w:r w:rsidR="005330DA">
        <w:t xml:space="preserve">of </w:t>
      </w:r>
      <w:r>
        <w:t xml:space="preserve">the scope of a DCRF case.  OCSC’s </w:t>
      </w:r>
      <w:r w:rsidR="00EB2557">
        <w:t>E</w:t>
      </w:r>
      <w:r>
        <w:t xml:space="preserve">xceptions, in fact, even acknowledge that “[t]he PFD is correct </w:t>
      </w:r>
      <w:r w:rsidRPr="00F2598C">
        <w:t>in finding that under the DCRF Rule, Oncor does not have to demonstrate the prudence, reasonableness, and necessity of its reserve levels.</w:t>
      </w:r>
      <w:r>
        <w:t>”</w:t>
      </w:r>
      <w:r w:rsidR="003C67BA">
        <w:rPr>
          <w:rStyle w:val="FootnoteReference"/>
        </w:rPr>
        <w:footnoteReference w:id="14"/>
      </w:r>
      <w:r>
        <w:t xml:space="preserve">  OCSC, though, apparently fails to recognize what that means when it nevertheless complains </w:t>
      </w:r>
      <w:r w:rsidR="003452E4">
        <w:t xml:space="preserve">in the very next sentence </w:t>
      </w:r>
      <w:r>
        <w:t>about an alleged “</w:t>
      </w:r>
      <w:r w:rsidRPr="00F2598C">
        <w:t>lack of sufficient evidence provided by Oncor to demonstrate the increased investment in reserve meters, transformers, and capacitors should be allowed in DCRF plant in service</w:t>
      </w:r>
      <w:r>
        <w:t>.”</w:t>
      </w:r>
      <w:r w:rsidR="003C67BA">
        <w:rPr>
          <w:rStyle w:val="FootnoteReference"/>
        </w:rPr>
        <w:footnoteReference w:id="15"/>
      </w:r>
      <w:r>
        <w:t xml:space="preserve">  </w:t>
      </w:r>
      <w:r w:rsidR="0021632E">
        <w:t>OCSC’s</w:t>
      </w:r>
      <w:r w:rsidR="002C2D34">
        <w:t xml:space="preserve"> repeated argument is based squarely on the mistaken </w:t>
      </w:r>
      <w:r>
        <w:t xml:space="preserve">notion that Oncor should have to justify </w:t>
      </w:r>
      <w:r w:rsidR="0021632E">
        <w:t xml:space="preserve">the appropriateness (in other words, the prudence, reasonableness, and necessity) of its capital investment in reserves within the </w:t>
      </w:r>
      <w:r w:rsidR="0021632E" w:rsidRPr="0021632E">
        <w:t>DCRF proceeding or else Oncor should have to wait to recover that investment until its next base-rate case</w:t>
      </w:r>
      <w:r w:rsidRPr="0021632E">
        <w:t xml:space="preserve">.  </w:t>
      </w:r>
      <w:r w:rsidR="002C2D34" w:rsidRPr="0021632E">
        <w:t xml:space="preserve"> OCSC’s argument blatantly contradicts the prescribed scope of </w:t>
      </w:r>
      <w:r w:rsidR="0021632E" w:rsidRPr="0021632E">
        <w:t xml:space="preserve">and purpose for interim </w:t>
      </w:r>
      <w:r w:rsidR="002C2D34" w:rsidRPr="0021632E">
        <w:t>DCRF proceedings, and the argument should be rejected.</w:t>
      </w:r>
    </w:p>
    <w:p w14:paraId="2A2FBB22" w14:textId="2DC0E1AC" w:rsidR="00F2598C" w:rsidRDefault="00F2598C" w:rsidP="00DA27EB">
      <w:pPr>
        <w:spacing w:line="360" w:lineRule="auto"/>
        <w:ind w:firstLine="720"/>
      </w:pPr>
      <w:r w:rsidRPr="0021632E">
        <w:t>The second key point</w:t>
      </w:r>
      <w:r>
        <w:t xml:space="preserve"> that OCSC continues to overlook is that even if </w:t>
      </w:r>
      <w:r w:rsidR="007079B9">
        <w:t>the issue it has raised was</w:t>
      </w:r>
      <w:r>
        <w:t xml:space="preserve"> within the scope of a DCRF case</w:t>
      </w:r>
      <w:r w:rsidR="00C120A8">
        <w:t xml:space="preserve"> (which it is not)</w:t>
      </w:r>
      <w:r>
        <w:t xml:space="preserve">, Oncor </w:t>
      </w:r>
      <w:r w:rsidRPr="003C67BA">
        <w:rPr>
          <w:i/>
          <w:iCs/>
        </w:rPr>
        <w:t>did</w:t>
      </w:r>
      <w:r>
        <w:t xml:space="preserve"> in fact provide evidence that </w:t>
      </w:r>
      <w:r w:rsidR="00DC6FFE">
        <w:t>support</w:t>
      </w:r>
      <w:r w:rsidR="007079B9">
        <w:t>s</w:t>
      </w:r>
      <w:r w:rsidR="00DC6FFE">
        <w:t xml:space="preserve"> Oncor’s reserve levels included in its DCRF Application</w:t>
      </w:r>
      <w:r w:rsidR="007079B9">
        <w:t xml:space="preserve"> (namely consisting of Mr. </w:t>
      </w:r>
      <w:proofErr w:type="spellStart"/>
      <w:r w:rsidR="007079B9">
        <w:t>Snelleman’s</w:t>
      </w:r>
      <w:proofErr w:type="spellEnd"/>
      <w:r w:rsidR="007079B9">
        <w:t xml:space="preserve"> direct and rebuttal testimony, as discussed above)</w:t>
      </w:r>
      <w:r w:rsidR="0021632E">
        <w:t>.  In the</w:t>
      </w:r>
      <w:r w:rsidRPr="00F2598C">
        <w:t xml:space="preserve"> PFD, the ALJ cites to that evidence</w:t>
      </w:r>
      <w:r w:rsidR="0021632E">
        <w:t xml:space="preserve"> presented by Oncor,</w:t>
      </w:r>
      <w:r w:rsidR="0021632E">
        <w:rPr>
          <w:rStyle w:val="FootnoteReference"/>
        </w:rPr>
        <w:footnoteReference w:id="16"/>
      </w:r>
      <w:r w:rsidR="00C120A8">
        <w:t xml:space="preserve"> and that evidence sufficiently supports </w:t>
      </w:r>
      <w:r w:rsidR="002F389B">
        <w:t xml:space="preserve">the ALJ’s </w:t>
      </w:r>
      <w:r w:rsidR="0021632E">
        <w:t>conclusion</w:t>
      </w:r>
      <w:r w:rsidR="002F389B">
        <w:t xml:space="preserve"> on page 3 of the PFD and </w:t>
      </w:r>
      <w:r w:rsidR="00C120A8">
        <w:t xml:space="preserve">Finding of Fact </w:t>
      </w:r>
      <w:r w:rsidR="002F389B">
        <w:t>41</w:t>
      </w:r>
      <w:r w:rsidR="00C120A8">
        <w:t xml:space="preserve"> </w:t>
      </w:r>
      <w:r w:rsidR="002F389B">
        <w:t>addressing reserve assets</w:t>
      </w:r>
      <w:r w:rsidR="003C67BA" w:rsidRPr="002F389B">
        <w:t>.</w:t>
      </w:r>
      <w:r w:rsidR="00C120A8" w:rsidRPr="002F389B">
        <w:t xml:space="preserve">  </w:t>
      </w:r>
      <w:r w:rsidR="0021632E" w:rsidRPr="00F2598C">
        <w:t xml:space="preserve">Thus, OCSC’s suggestion on page </w:t>
      </w:r>
      <w:r w:rsidR="0021632E">
        <w:t>1</w:t>
      </w:r>
      <w:r w:rsidR="0021632E" w:rsidRPr="00F2598C">
        <w:t xml:space="preserve"> </w:t>
      </w:r>
      <w:r w:rsidR="0021632E">
        <w:t xml:space="preserve">of its exceptions </w:t>
      </w:r>
      <w:r w:rsidR="0021632E" w:rsidRPr="00F2598C">
        <w:t>that O</w:t>
      </w:r>
      <w:r w:rsidR="0021632E">
        <w:t>n</w:t>
      </w:r>
      <w:r w:rsidR="0021632E" w:rsidRPr="00F2598C">
        <w:t xml:space="preserve">cor failed to provide </w:t>
      </w:r>
      <w:r w:rsidR="0021632E">
        <w:t>evidence supporting its</w:t>
      </w:r>
      <w:r w:rsidR="0021632E" w:rsidRPr="00F2598C">
        <w:t xml:space="preserve"> reserve levels is incorrect and misleading.  </w:t>
      </w:r>
      <w:r w:rsidR="00646F5D" w:rsidRPr="002F389B">
        <w:t xml:space="preserve">This </w:t>
      </w:r>
      <w:r w:rsidR="002F389B" w:rsidRPr="002F389B">
        <w:t xml:space="preserve">analysis performed by the ALJ </w:t>
      </w:r>
      <w:r w:rsidR="007079B9">
        <w:t>also</w:t>
      </w:r>
      <w:r w:rsidR="0021632E">
        <w:t xml:space="preserve"> </w:t>
      </w:r>
      <w:r w:rsidR="00646F5D" w:rsidRPr="002F389B">
        <w:t xml:space="preserve">contradicts OCSC’s claim that the ALJ </w:t>
      </w:r>
      <w:r w:rsidR="002F389B" w:rsidRPr="002F389B">
        <w:t xml:space="preserve">“summarily found” that the investments in reserve assets were properly included in the DCRF </w:t>
      </w:r>
      <w:r w:rsidR="00EB2557">
        <w:t>A</w:t>
      </w:r>
      <w:r w:rsidR="002F389B" w:rsidRPr="002F389B">
        <w:t>pplication</w:t>
      </w:r>
      <w:r w:rsidR="0021632E">
        <w:t>,</w:t>
      </w:r>
      <w:r w:rsidR="002F389B" w:rsidRPr="002F389B">
        <w:rPr>
          <w:rStyle w:val="FootnoteReference"/>
        </w:rPr>
        <w:footnoteReference w:id="17"/>
      </w:r>
      <w:r w:rsidR="00646F5D" w:rsidRPr="002F389B">
        <w:t xml:space="preserve"> and </w:t>
      </w:r>
      <w:r w:rsidR="002F389B" w:rsidRPr="002F389B">
        <w:t>it</w:t>
      </w:r>
      <w:r w:rsidR="00C120A8" w:rsidRPr="002F389B">
        <w:t xml:space="preserve"> provides yet another reason why OCSC’s exceptions should be rejected.</w:t>
      </w:r>
      <w:r w:rsidR="00C120A8">
        <w:t xml:space="preserve"> </w:t>
      </w:r>
    </w:p>
    <w:p w14:paraId="52D6EE0E" w14:textId="589DD56E" w:rsidR="00B542C2" w:rsidRDefault="005E1C96" w:rsidP="00B4436E">
      <w:pPr>
        <w:spacing w:line="360" w:lineRule="auto"/>
        <w:ind w:firstLine="720"/>
      </w:pPr>
      <w:r w:rsidRPr="003452E4">
        <w:t>Finally, OCSC suggest</w:t>
      </w:r>
      <w:r w:rsidR="007079B9">
        <w:t>s</w:t>
      </w:r>
      <w:r w:rsidRPr="003452E4">
        <w:t xml:space="preserve"> that </w:t>
      </w:r>
      <w:r w:rsidR="003452E4" w:rsidRPr="003452E4">
        <w:t xml:space="preserve">“[its] recommendation is not a disallowance, instead, it is a deferment until Oncor’s next base rate proceeding at which time Oncor will have an opportunity </w:t>
      </w:r>
      <w:r w:rsidR="003452E4" w:rsidRPr="003452E4">
        <w:lastRenderedPageBreak/>
        <w:t>to provide support for these costs</w:t>
      </w:r>
      <w:r w:rsidR="007079B9">
        <w:t>.</w:t>
      </w:r>
      <w:r w:rsidR="003452E4" w:rsidRPr="003452E4">
        <w:t>”</w:t>
      </w:r>
      <w:r w:rsidR="002F389B">
        <w:rPr>
          <w:rStyle w:val="FootnoteReference"/>
        </w:rPr>
        <w:footnoteReference w:id="18"/>
      </w:r>
      <w:r w:rsidRPr="003452E4">
        <w:t xml:space="preserve"> </w:t>
      </w:r>
      <w:r w:rsidR="007079B9">
        <w:t xml:space="preserve"> This recommendation </w:t>
      </w:r>
      <w:r w:rsidR="00EB2557">
        <w:t xml:space="preserve">has no basis in 16 TAC § 25.243 and </w:t>
      </w:r>
      <w:r w:rsidRPr="003452E4">
        <w:t xml:space="preserve">offers no consolation to Oncor for denying </w:t>
      </w:r>
      <w:r w:rsidR="00EB2557">
        <w:t>its</w:t>
      </w:r>
      <w:r w:rsidR="003452E4" w:rsidRPr="003452E4">
        <w:t xml:space="preserve"> ability to include this capital investment in its rates adjusted in this proceeding.</w:t>
      </w:r>
      <w:r w:rsidRPr="003452E4">
        <w:t xml:space="preserve">  </w:t>
      </w:r>
      <w:r w:rsidR="004C3061" w:rsidRPr="003452E4">
        <w:t xml:space="preserve">As explained in Oncor witness </w:t>
      </w:r>
      <w:r w:rsidR="004C3061" w:rsidRPr="00047323">
        <w:t xml:space="preserve">Mr. W. Alan Ledbetter’s rebuttal testimony, OCSC is incorrect in </w:t>
      </w:r>
      <w:r w:rsidR="007079B9">
        <w:t>suggesting</w:t>
      </w:r>
      <w:r w:rsidR="004C3061" w:rsidRPr="00047323">
        <w:t xml:space="preserve"> </w:t>
      </w:r>
      <w:r w:rsidR="004C3061" w:rsidRPr="00B542C2">
        <w:t>that</w:t>
      </w:r>
      <w:r w:rsidR="00047323" w:rsidRPr="00B542C2">
        <w:t xml:space="preserve"> under its recommended “deferment approach,”</w:t>
      </w:r>
      <w:r w:rsidR="004C3061" w:rsidRPr="00B542C2">
        <w:t xml:space="preserve"> Oncor would </w:t>
      </w:r>
      <w:r w:rsidR="00047323" w:rsidRPr="00B542C2">
        <w:t xml:space="preserve">still </w:t>
      </w:r>
      <w:r w:rsidR="004C3061" w:rsidRPr="00B542C2">
        <w:t xml:space="preserve">be “made whole for its investment” </w:t>
      </w:r>
      <w:r w:rsidR="00047323" w:rsidRPr="00B542C2">
        <w:t>even if it</w:t>
      </w:r>
      <w:r w:rsidR="004C3061" w:rsidRPr="00B542C2">
        <w:t xml:space="preserve"> </w:t>
      </w:r>
      <w:r w:rsidR="007079B9">
        <w:t>is</w:t>
      </w:r>
      <w:r w:rsidR="004C3061" w:rsidRPr="00B542C2">
        <w:t xml:space="preserve"> forced to wait until</w:t>
      </w:r>
      <w:r w:rsidR="00047323" w:rsidRPr="00B542C2">
        <w:t xml:space="preserve"> investment costs are reconciled in its next base-rate case before it can include that investment in rates.</w:t>
      </w:r>
      <w:r w:rsidR="00047323" w:rsidRPr="00B542C2">
        <w:rPr>
          <w:rStyle w:val="FootnoteReference"/>
        </w:rPr>
        <w:footnoteReference w:id="19"/>
      </w:r>
      <w:r w:rsidR="00047323" w:rsidRPr="00B542C2">
        <w:t xml:space="preserve">  </w:t>
      </w:r>
      <w:r w:rsidR="004C3061" w:rsidRPr="00B542C2">
        <w:t xml:space="preserve">Specifically, Mr. Ledbetter </w:t>
      </w:r>
      <w:r w:rsidR="007079B9">
        <w:t>explains</w:t>
      </w:r>
      <w:r w:rsidR="004C3061" w:rsidRPr="00B542C2">
        <w:t xml:space="preserve"> that </w:t>
      </w:r>
      <w:r w:rsidR="00B542C2" w:rsidRPr="00B542C2">
        <w:t xml:space="preserve">the average investment in distribution and distribution-related capital subject to update in a DCRF proceeding currently experiences a revenue lag of eight to nine months, and that in light of the Commission’s 48-month base-rate proceeding scheduling, </w:t>
      </w:r>
      <w:r w:rsidR="00CE166F">
        <w:t>OCSC’s</w:t>
      </w:r>
      <w:r w:rsidR="00B542C2" w:rsidRPr="00B542C2">
        <w:t xml:space="preserve"> recommendation would add at least two more years (i.e., 48 months </w:t>
      </w:r>
      <w:r w:rsidR="00B542C2">
        <w:t xml:space="preserve">divided by </w:t>
      </w:r>
      <w:r w:rsidR="00B542C2" w:rsidRPr="00B542C2">
        <w:t>2) to the financial drag arising from regulatory lag related to distribution and distribution-related invested capital.</w:t>
      </w:r>
      <w:r w:rsidR="00B542C2">
        <w:rPr>
          <w:rStyle w:val="FootnoteReference"/>
        </w:rPr>
        <w:footnoteReference w:id="20"/>
      </w:r>
      <w:r w:rsidR="00B542C2" w:rsidRPr="00B542C2">
        <w:t xml:space="preserve"> </w:t>
      </w:r>
      <w:r w:rsidR="00B542C2">
        <w:t xml:space="preserve"> T</w:t>
      </w:r>
      <w:r w:rsidR="00B542C2" w:rsidRPr="00B542C2">
        <w:t>his type of regulatory lag and the negative impacts on an electric utility</w:t>
      </w:r>
      <w:r w:rsidR="00B542C2">
        <w:t>’</w:t>
      </w:r>
      <w:r w:rsidR="00B542C2" w:rsidRPr="00B542C2">
        <w:t xml:space="preserve">s earnings </w:t>
      </w:r>
      <w:r w:rsidR="00EB2557">
        <w:t>were</w:t>
      </w:r>
      <w:r w:rsidR="00B542C2" w:rsidRPr="00B542C2">
        <w:t xml:space="preserve"> the impetus behind the enactment of PURA § 36.210 and the Commission</w:t>
      </w:r>
      <w:r w:rsidR="00CE166F">
        <w:t>’</w:t>
      </w:r>
      <w:r w:rsidR="00B542C2" w:rsidRPr="00B542C2">
        <w:t>s adoption of 16 TAC § 25.243</w:t>
      </w:r>
      <w:r w:rsidR="00B542C2">
        <w:t xml:space="preserve">.  </w:t>
      </w:r>
    </w:p>
    <w:p w14:paraId="4B8808FC" w14:textId="18D27592" w:rsidR="005E1C96" w:rsidRPr="00FC7A1A" w:rsidRDefault="004C3061" w:rsidP="00B4436E">
      <w:pPr>
        <w:spacing w:line="360" w:lineRule="auto"/>
        <w:ind w:firstLine="720"/>
        <w:rPr>
          <w:highlight w:val="yellow"/>
        </w:rPr>
      </w:pPr>
      <w:r w:rsidRPr="003452E4">
        <w:t xml:space="preserve">Instead of adopting OSCS’s flawed recommendation, the ALJ correctly concluded that the Commission should approve Oncor’s request to amend its DCRF as requested, </w:t>
      </w:r>
      <w:r w:rsidR="00B9741D">
        <w:t xml:space="preserve">noting that the Commission will make determinations on whether the investments recovered through the DCRF are prudent, reasonable, and necessary “in Oncor’s DCRF reconciliation under 16 TAC </w:t>
      </w:r>
      <w:r w:rsidR="0038362D">
        <w:t>§ </w:t>
      </w:r>
      <w:r w:rsidR="00B9741D">
        <w:t>25.243(f).”</w:t>
      </w:r>
      <w:r w:rsidR="00B9741D">
        <w:rPr>
          <w:rStyle w:val="FootnoteReference"/>
        </w:rPr>
        <w:footnoteReference w:id="21"/>
      </w:r>
      <w:r w:rsidR="00B9741D">
        <w:t xml:space="preserve">  </w:t>
      </w:r>
      <w:r w:rsidRPr="003452E4">
        <w:t>This is in keeping with the way the interim DCRF mechanism is intended to work.</w:t>
      </w:r>
    </w:p>
    <w:p w14:paraId="70CCA12B" w14:textId="6598A35D" w:rsidR="00507E05" w:rsidRPr="001F5087" w:rsidRDefault="00CE166F" w:rsidP="00B43C67">
      <w:pPr>
        <w:keepNext/>
        <w:spacing w:line="360" w:lineRule="auto"/>
        <w:jc w:val="center"/>
        <w:rPr>
          <w:b/>
        </w:rPr>
      </w:pPr>
      <w:r>
        <w:rPr>
          <w:b/>
        </w:rPr>
        <w:t>III</w:t>
      </w:r>
      <w:r w:rsidR="00CA5C97" w:rsidRPr="001F5087">
        <w:rPr>
          <w:b/>
        </w:rPr>
        <w:t>.</w:t>
      </w:r>
      <w:r w:rsidR="00DA27EB" w:rsidRPr="001F5087">
        <w:rPr>
          <w:b/>
        </w:rPr>
        <w:tab/>
      </w:r>
      <w:r w:rsidR="00DA27EB" w:rsidRPr="001F5087">
        <w:rPr>
          <w:b/>
          <w:u w:val="single"/>
        </w:rPr>
        <w:t>CONCLUSION AND PRAYER</w:t>
      </w:r>
    </w:p>
    <w:p w14:paraId="28AB1049" w14:textId="60CC4262" w:rsidR="00975767" w:rsidRDefault="00CA5C97" w:rsidP="0088495A">
      <w:pPr>
        <w:keepNext/>
        <w:spacing w:line="360" w:lineRule="auto"/>
        <w:ind w:firstLine="720"/>
      </w:pPr>
      <w:r w:rsidRPr="001F5087">
        <w:t>Oncor</w:t>
      </w:r>
      <w:r w:rsidR="0099741D" w:rsidRPr="001F5087">
        <w:t xml:space="preserve"> </w:t>
      </w:r>
      <w:r w:rsidRPr="001F5087">
        <w:t xml:space="preserve">respectfully requests that </w:t>
      </w:r>
      <w:r w:rsidR="00E36EF0" w:rsidRPr="001F5087">
        <w:t xml:space="preserve">the Commission </w:t>
      </w:r>
      <w:r w:rsidR="0088495A" w:rsidRPr="001F5087">
        <w:t>consider the record evidence in this case (</w:t>
      </w:r>
      <w:r w:rsidR="0088495A" w:rsidRPr="00047323">
        <w:t xml:space="preserve">including the Application, the </w:t>
      </w:r>
      <w:r w:rsidR="00FB745D" w:rsidRPr="00047323">
        <w:t>DCRF</w:t>
      </w:r>
      <w:r w:rsidR="0088495A" w:rsidRPr="00047323">
        <w:t xml:space="preserve"> filing package, and the direct and rebuttal testimonies of Oncor’s witnesses), consider </w:t>
      </w:r>
      <w:r w:rsidR="00132088" w:rsidRPr="00047323">
        <w:t xml:space="preserve">Staff’s recommendation </w:t>
      </w:r>
      <w:r w:rsidR="00047323" w:rsidRPr="00047323">
        <w:t>of approval of Oncor’s Application</w:t>
      </w:r>
      <w:r w:rsidR="000C6C3A" w:rsidRPr="00047323">
        <w:t>,</w:t>
      </w:r>
      <w:r w:rsidR="0088495A" w:rsidRPr="00047323">
        <w:t xml:space="preserve"> and adopt the PFD in this case.  Oncor further requests that the Commission grant the Company such other and further relief to which it may be entitled.</w:t>
      </w:r>
      <w:r w:rsidR="00E36EF0">
        <w:t xml:space="preserve">  </w:t>
      </w:r>
    </w:p>
    <w:p w14:paraId="1FC8D9BA" w14:textId="77777777" w:rsidR="00C13874" w:rsidRDefault="00C13874" w:rsidP="00AD302C">
      <w:pPr>
        <w:ind w:left="4410" w:firstLine="90"/>
        <w:jc w:val="left"/>
        <w:rPr>
          <w:rFonts w:asciiTheme="majorBidi" w:hAnsiTheme="majorBidi" w:cstheme="majorBidi"/>
        </w:rPr>
      </w:pPr>
    </w:p>
    <w:p w14:paraId="2653DA31" w14:textId="77777777" w:rsidR="00C13874" w:rsidRDefault="00C13874" w:rsidP="00AD302C">
      <w:pPr>
        <w:ind w:left="4410" w:firstLine="90"/>
        <w:jc w:val="left"/>
        <w:rPr>
          <w:rFonts w:asciiTheme="majorBidi" w:hAnsiTheme="majorBidi" w:cstheme="majorBidi"/>
        </w:rPr>
      </w:pPr>
    </w:p>
    <w:p w14:paraId="3E3EEED7" w14:textId="77558172" w:rsidR="00DA77D2" w:rsidRPr="009A4385" w:rsidRDefault="00CA5C97" w:rsidP="00AD302C">
      <w:pPr>
        <w:ind w:left="4410" w:firstLine="90"/>
        <w:jc w:val="left"/>
        <w:rPr>
          <w:rFonts w:asciiTheme="majorBidi" w:hAnsiTheme="majorBidi" w:cstheme="majorBidi"/>
        </w:rPr>
      </w:pPr>
      <w:r w:rsidRPr="009A4385">
        <w:rPr>
          <w:rFonts w:asciiTheme="majorBidi" w:hAnsiTheme="majorBidi" w:cstheme="majorBidi"/>
        </w:rPr>
        <w:lastRenderedPageBreak/>
        <w:t>Respectfully submitted,</w:t>
      </w:r>
    </w:p>
    <w:p w14:paraId="416AEE6C" w14:textId="1D33BECD" w:rsidR="00DA77D2" w:rsidRPr="009A4385" w:rsidRDefault="00CA5C97" w:rsidP="00AD302C">
      <w:pPr>
        <w:widowControl w:val="0"/>
        <w:tabs>
          <w:tab w:val="left" w:pos="2520"/>
          <w:tab w:val="center" w:pos="6930"/>
        </w:tabs>
        <w:ind w:left="4410" w:firstLine="180"/>
        <w:rPr>
          <w:rFonts w:asciiTheme="majorBidi" w:hAnsiTheme="majorBidi" w:cstheme="majorBidi"/>
        </w:rPr>
      </w:pPr>
      <w:r>
        <w:rPr>
          <w:rFonts w:asciiTheme="majorBidi" w:hAnsiTheme="majorBidi" w:cstheme="majorBidi"/>
        </w:rPr>
        <w:tab/>
      </w:r>
    </w:p>
    <w:p w14:paraId="784E5DED" w14:textId="17C1D51D" w:rsidR="0088495A" w:rsidRDefault="0088495A" w:rsidP="00AD302C">
      <w:pPr>
        <w:widowControl w:val="0"/>
        <w:tabs>
          <w:tab w:val="left" w:pos="2520"/>
        </w:tabs>
        <w:ind w:left="4410" w:firstLine="90"/>
        <w:rPr>
          <w:rFonts w:asciiTheme="majorBidi" w:hAnsiTheme="majorBidi" w:cstheme="majorBidi"/>
        </w:rPr>
      </w:pPr>
      <w:r>
        <w:rPr>
          <w:rFonts w:asciiTheme="majorBidi" w:hAnsiTheme="majorBidi" w:cstheme="majorBidi"/>
        </w:rPr>
        <w:t>Oncor Electric Delivery Company LLC</w:t>
      </w:r>
    </w:p>
    <w:p w14:paraId="28F5AA08" w14:textId="77777777" w:rsidR="0088495A" w:rsidRDefault="0088495A" w:rsidP="007079B9">
      <w:pPr>
        <w:widowControl w:val="0"/>
        <w:tabs>
          <w:tab w:val="left" w:pos="2520"/>
        </w:tabs>
        <w:ind w:left="4770" w:firstLine="180"/>
        <w:rPr>
          <w:rFonts w:asciiTheme="majorBidi" w:hAnsiTheme="majorBidi" w:cstheme="majorBidi"/>
        </w:rPr>
      </w:pPr>
    </w:p>
    <w:p w14:paraId="2690F713" w14:textId="58A72D7B" w:rsidR="00DA77D2" w:rsidRPr="009A4385" w:rsidRDefault="00CA5C97" w:rsidP="00AD302C">
      <w:pPr>
        <w:widowControl w:val="0"/>
        <w:tabs>
          <w:tab w:val="left" w:pos="2520"/>
        </w:tabs>
        <w:ind w:left="4410" w:firstLine="90"/>
        <w:rPr>
          <w:rFonts w:asciiTheme="majorBidi" w:hAnsiTheme="majorBidi" w:cstheme="majorBidi"/>
        </w:rPr>
      </w:pPr>
      <w:r w:rsidRPr="009A4385">
        <w:rPr>
          <w:rFonts w:asciiTheme="majorBidi" w:hAnsiTheme="majorBidi" w:cstheme="majorBidi"/>
        </w:rPr>
        <w:t xml:space="preserve">By: </w:t>
      </w:r>
      <w:r w:rsidR="00D45A4C" w:rsidRPr="00D45A4C">
        <w:rPr>
          <w:rFonts w:asciiTheme="majorBidi" w:hAnsiTheme="majorBidi" w:cstheme="majorBidi"/>
          <w:i/>
          <w:iCs/>
          <w:u w:val="single"/>
        </w:rPr>
        <w:t xml:space="preserve">/s/ </w:t>
      </w:r>
      <w:r w:rsidR="0013789B">
        <w:rPr>
          <w:rFonts w:asciiTheme="majorBidi" w:hAnsiTheme="majorBidi" w:cstheme="majorBidi"/>
          <w:i/>
          <w:iCs/>
          <w:u w:val="single"/>
        </w:rPr>
        <w:t>Tab R. Urbantke</w:t>
      </w:r>
    </w:p>
    <w:p w14:paraId="226352C5"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Tab R. Urbantke</w:t>
      </w:r>
    </w:p>
    <w:p w14:paraId="576B1240"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State Bar No. 24034717</w:t>
      </w:r>
    </w:p>
    <w:p w14:paraId="41A8146A"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Lauren Freeland</w:t>
      </w:r>
    </w:p>
    <w:p w14:paraId="68240750"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State Bar No. 24083023</w:t>
      </w:r>
    </w:p>
    <w:p w14:paraId="05A41090" w14:textId="77777777" w:rsidR="00505E7D" w:rsidRPr="00840C64" w:rsidRDefault="00CA5C97" w:rsidP="00037FEF">
      <w:pPr>
        <w:keepLines/>
        <w:widowControl w:val="0"/>
        <w:tabs>
          <w:tab w:val="left" w:pos="8760"/>
        </w:tabs>
        <w:ind w:left="4770" w:firstLine="90"/>
        <w:jc w:val="left"/>
      </w:pPr>
      <w:r w:rsidRPr="00840C64">
        <w:t>Hunton Andrews Kurth LLP</w:t>
      </w:r>
    </w:p>
    <w:p w14:paraId="021C22F5" w14:textId="77777777" w:rsidR="00505E7D" w:rsidRPr="00840C64" w:rsidRDefault="00CA5C97" w:rsidP="00037FEF">
      <w:pPr>
        <w:keepLines/>
        <w:widowControl w:val="0"/>
        <w:tabs>
          <w:tab w:val="left" w:pos="8760"/>
        </w:tabs>
        <w:ind w:left="4770" w:firstLine="90"/>
        <w:jc w:val="left"/>
      </w:pPr>
      <w:r w:rsidRPr="00840C64">
        <w:t>1445 Ross Avenue, Suite 3700</w:t>
      </w:r>
    </w:p>
    <w:p w14:paraId="0C75BECA" w14:textId="77777777" w:rsidR="00505E7D" w:rsidRPr="00840C64" w:rsidRDefault="00CA5C97" w:rsidP="00037FEF">
      <w:pPr>
        <w:keepLines/>
        <w:widowControl w:val="0"/>
        <w:tabs>
          <w:tab w:val="left" w:pos="8760"/>
        </w:tabs>
        <w:ind w:left="4770" w:firstLine="90"/>
        <w:jc w:val="left"/>
      </w:pPr>
      <w:r w:rsidRPr="00840C64">
        <w:t>Dallas, Texas 75202</w:t>
      </w:r>
    </w:p>
    <w:p w14:paraId="1C24FE30" w14:textId="77777777" w:rsidR="00505E7D" w:rsidRPr="00840C64" w:rsidRDefault="00CA5C97" w:rsidP="00037FEF">
      <w:pPr>
        <w:keepLines/>
        <w:widowControl w:val="0"/>
        <w:tabs>
          <w:tab w:val="left" w:pos="8760"/>
        </w:tabs>
        <w:ind w:left="4770" w:firstLine="90"/>
        <w:jc w:val="left"/>
      </w:pPr>
      <w:r w:rsidRPr="00840C64">
        <w:t>214.979.3095</w:t>
      </w:r>
    </w:p>
    <w:p w14:paraId="523847C0" w14:textId="77777777" w:rsidR="00505E7D" w:rsidRPr="00840C64" w:rsidRDefault="00CA5C97" w:rsidP="00037FEF">
      <w:pPr>
        <w:keepLines/>
        <w:widowControl w:val="0"/>
        <w:tabs>
          <w:tab w:val="left" w:pos="8760"/>
        </w:tabs>
        <w:ind w:left="4770" w:firstLine="90"/>
        <w:jc w:val="left"/>
      </w:pPr>
      <w:r w:rsidRPr="00840C64">
        <w:t>214.880.0011 (fax)</w:t>
      </w:r>
    </w:p>
    <w:p w14:paraId="542576EA" w14:textId="7A0A1247" w:rsidR="00505E7D" w:rsidRDefault="004374DB" w:rsidP="00037FEF">
      <w:pPr>
        <w:keepLines/>
        <w:widowControl w:val="0"/>
        <w:tabs>
          <w:tab w:val="left" w:pos="8760"/>
        </w:tabs>
        <w:ind w:left="4770" w:firstLine="90"/>
        <w:jc w:val="left"/>
      </w:pPr>
      <w:hyperlink r:id="rId10" w:history="1">
        <w:r w:rsidR="00CA5C97" w:rsidRPr="006603D4">
          <w:t>turbantke@HuntonAK.com</w:t>
        </w:r>
      </w:hyperlink>
    </w:p>
    <w:p w14:paraId="3C4FCF37" w14:textId="60E0DFB6" w:rsidR="00505E7D" w:rsidRDefault="004374DB" w:rsidP="00037FEF">
      <w:pPr>
        <w:keepLines/>
        <w:widowControl w:val="0"/>
        <w:tabs>
          <w:tab w:val="left" w:pos="8760"/>
        </w:tabs>
        <w:ind w:left="4770" w:firstLine="90"/>
        <w:jc w:val="left"/>
      </w:pPr>
      <w:hyperlink r:id="rId11" w:history="1">
        <w:r w:rsidR="00CA5C97" w:rsidRPr="006603D4">
          <w:t>lfreeland@HuntonAK.com</w:t>
        </w:r>
      </w:hyperlink>
    </w:p>
    <w:p w14:paraId="0CAA8F99" w14:textId="77777777" w:rsidR="00DA77D2" w:rsidRPr="009A4385" w:rsidRDefault="00DA77D2" w:rsidP="007079B9">
      <w:pPr>
        <w:widowControl w:val="0"/>
        <w:tabs>
          <w:tab w:val="left" w:pos="2520"/>
        </w:tabs>
        <w:ind w:left="4770" w:firstLine="180"/>
        <w:jc w:val="left"/>
        <w:rPr>
          <w:rFonts w:asciiTheme="majorBidi" w:hAnsiTheme="majorBidi" w:cstheme="majorBidi"/>
        </w:rPr>
      </w:pPr>
    </w:p>
    <w:p w14:paraId="513B3FE9"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Matthew C. Henry</w:t>
      </w:r>
    </w:p>
    <w:p w14:paraId="690FB5B8"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Senior Vice President, General Counsel,</w:t>
      </w:r>
    </w:p>
    <w:p w14:paraId="1ABB3926"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and Secretary</w:t>
      </w:r>
    </w:p>
    <w:p w14:paraId="5344A0A6"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Oncor Electric Delivery Company LLC</w:t>
      </w:r>
    </w:p>
    <w:p w14:paraId="0AD3CFBB"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1616 Woodall Rodgers Freeway</w:t>
      </w:r>
    </w:p>
    <w:p w14:paraId="7AD50116" w14:textId="77777777" w:rsidR="00DA77D2" w:rsidRPr="009A4385" w:rsidRDefault="00CA5C97" w:rsidP="00037FEF">
      <w:pPr>
        <w:widowControl w:val="0"/>
        <w:tabs>
          <w:tab w:val="left" w:pos="2520"/>
        </w:tabs>
        <w:ind w:left="4770" w:firstLine="90"/>
        <w:jc w:val="left"/>
        <w:rPr>
          <w:rFonts w:asciiTheme="majorBidi" w:hAnsiTheme="majorBidi" w:cstheme="majorBidi"/>
        </w:rPr>
      </w:pPr>
      <w:r w:rsidRPr="009A4385">
        <w:rPr>
          <w:rFonts w:asciiTheme="majorBidi" w:hAnsiTheme="majorBidi" w:cstheme="majorBidi"/>
        </w:rPr>
        <w:t>Dallas, Texas 75202</w:t>
      </w:r>
    </w:p>
    <w:p w14:paraId="2EDC950C" w14:textId="0735B934" w:rsidR="00DA77D2" w:rsidRDefault="00CA5C97" w:rsidP="00037FEF">
      <w:pPr>
        <w:widowControl w:val="0"/>
        <w:tabs>
          <w:tab w:val="left" w:pos="2520"/>
        </w:tabs>
        <w:ind w:left="4770" w:firstLine="90"/>
        <w:jc w:val="left"/>
      </w:pPr>
      <w:r>
        <w:t>matt.henry@oncor.com</w:t>
      </w:r>
    </w:p>
    <w:p w14:paraId="330EC02E" w14:textId="77777777" w:rsidR="006603D4" w:rsidRPr="009A4385" w:rsidRDefault="006603D4" w:rsidP="007079B9">
      <w:pPr>
        <w:widowControl w:val="0"/>
        <w:tabs>
          <w:tab w:val="left" w:pos="2520"/>
        </w:tabs>
        <w:ind w:left="4770" w:firstLine="180"/>
        <w:jc w:val="left"/>
        <w:rPr>
          <w:rFonts w:asciiTheme="majorBidi" w:hAnsiTheme="majorBidi" w:cstheme="majorBidi"/>
        </w:rPr>
      </w:pPr>
    </w:p>
    <w:p w14:paraId="5F4EB0CB" w14:textId="0892BEE2" w:rsidR="00DA77D2" w:rsidRPr="009A4385" w:rsidRDefault="00CA5C97" w:rsidP="00037FEF">
      <w:pPr>
        <w:widowControl w:val="0"/>
        <w:tabs>
          <w:tab w:val="left" w:pos="2520"/>
        </w:tabs>
        <w:ind w:left="4860"/>
        <w:jc w:val="left"/>
        <w:rPr>
          <w:rFonts w:asciiTheme="majorBidi" w:hAnsiTheme="majorBidi" w:cstheme="majorBidi"/>
          <w:b/>
        </w:rPr>
      </w:pPr>
      <w:r w:rsidRPr="009A4385">
        <w:rPr>
          <w:rFonts w:asciiTheme="majorBidi" w:hAnsiTheme="majorBidi" w:cstheme="majorBidi"/>
          <w:b/>
        </w:rPr>
        <w:t xml:space="preserve">ATTORNEYS FOR ONCOR </w:t>
      </w:r>
      <w:r w:rsidR="00826795">
        <w:rPr>
          <w:rFonts w:asciiTheme="majorBidi" w:hAnsiTheme="majorBidi" w:cstheme="majorBidi"/>
          <w:b/>
        </w:rPr>
        <w:t xml:space="preserve">  </w:t>
      </w:r>
      <w:r w:rsidRPr="009A4385">
        <w:rPr>
          <w:rFonts w:asciiTheme="majorBidi" w:hAnsiTheme="majorBidi" w:cstheme="majorBidi"/>
          <w:b/>
        </w:rPr>
        <w:t>ELECTRIC DELIVERY COMPANY LLC</w:t>
      </w:r>
    </w:p>
    <w:p w14:paraId="68E147DE" w14:textId="77777777" w:rsidR="00DA77D2" w:rsidRDefault="00DA77D2" w:rsidP="00DA77D2">
      <w:pPr>
        <w:widowControl w:val="0"/>
        <w:tabs>
          <w:tab w:val="left" w:pos="2520"/>
        </w:tabs>
        <w:ind w:left="4680"/>
        <w:rPr>
          <w:rFonts w:asciiTheme="majorBidi" w:hAnsiTheme="majorBidi" w:cstheme="majorBidi"/>
          <w:b/>
        </w:rPr>
      </w:pPr>
    </w:p>
    <w:p w14:paraId="4F735F90" w14:textId="77777777" w:rsidR="00AD302C" w:rsidRDefault="00AD302C" w:rsidP="00DA77D2">
      <w:pPr>
        <w:widowControl w:val="0"/>
        <w:tabs>
          <w:tab w:val="left" w:pos="2520"/>
        </w:tabs>
        <w:ind w:left="4680"/>
        <w:rPr>
          <w:rFonts w:asciiTheme="majorBidi" w:hAnsiTheme="majorBidi" w:cstheme="majorBidi"/>
          <w:b/>
        </w:rPr>
      </w:pPr>
    </w:p>
    <w:p w14:paraId="1416B872" w14:textId="77777777" w:rsidR="00C13874" w:rsidRDefault="00C13874" w:rsidP="00DA77D2">
      <w:pPr>
        <w:widowControl w:val="0"/>
        <w:tabs>
          <w:tab w:val="left" w:pos="2520"/>
        </w:tabs>
        <w:ind w:left="4680"/>
        <w:rPr>
          <w:rFonts w:asciiTheme="majorBidi" w:hAnsiTheme="majorBidi" w:cstheme="majorBidi"/>
          <w:b/>
        </w:rPr>
      </w:pPr>
    </w:p>
    <w:p w14:paraId="36B5019A" w14:textId="77777777" w:rsidR="00C13874" w:rsidRPr="009A4385" w:rsidRDefault="00C13874" w:rsidP="00DA77D2">
      <w:pPr>
        <w:widowControl w:val="0"/>
        <w:tabs>
          <w:tab w:val="left" w:pos="2520"/>
        </w:tabs>
        <w:ind w:left="4680"/>
        <w:rPr>
          <w:rFonts w:asciiTheme="majorBidi" w:hAnsiTheme="majorBidi" w:cstheme="majorBidi"/>
          <w:b/>
        </w:rPr>
      </w:pPr>
    </w:p>
    <w:p w14:paraId="2BCEE902" w14:textId="77777777" w:rsidR="00DA77D2" w:rsidRPr="00B73DAE" w:rsidRDefault="00CA5C97" w:rsidP="00DA77D2">
      <w:pPr>
        <w:pStyle w:val="Title"/>
        <w:rPr>
          <w:rFonts w:asciiTheme="majorBidi" w:hAnsiTheme="majorBidi" w:cstheme="majorBidi"/>
          <w:szCs w:val="24"/>
        </w:rPr>
      </w:pPr>
      <w:r w:rsidRPr="00B73DAE">
        <w:rPr>
          <w:rFonts w:asciiTheme="majorBidi" w:hAnsiTheme="majorBidi" w:cstheme="majorBidi"/>
          <w:szCs w:val="24"/>
        </w:rPr>
        <w:t>CERTIFICATE OF SERVICE</w:t>
      </w:r>
    </w:p>
    <w:p w14:paraId="543C3572" w14:textId="78F9030C" w:rsidR="006603D4" w:rsidRPr="00B73DAE" w:rsidRDefault="00CA5C97" w:rsidP="006603D4">
      <w:pPr>
        <w:pStyle w:val="BodyTextFirstSS"/>
        <w:spacing w:after="480"/>
      </w:pPr>
      <w:r w:rsidRPr="00B73DAE">
        <w:rPr>
          <w:rFonts w:asciiTheme="majorBidi" w:hAnsiTheme="majorBidi" w:cstheme="majorBidi"/>
          <w:szCs w:val="24"/>
        </w:rPr>
        <w:t xml:space="preserve">I </w:t>
      </w:r>
      <w:r w:rsidR="00B73DAE" w:rsidRPr="00B73DAE">
        <w:t>hereby certify that a true and correct copy of the foregoing was provided to all parties of record by electronic mail</w:t>
      </w:r>
      <w:r w:rsidR="004E412F">
        <w:t xml:space="preserve"> </w:t>
      </w:r>
      <w:r w:rsidR="00B73DAE" w:rsidRPr="00B73DAE">
        <w:t xml:space="preserve">on this </w:t>
      </w:r>
      <w:r w:rsidR="004374DB">
        <w:t>17</w:t>
      </w:r>
      <w:r w:rsidR="004374DB" w:rsidRPr="004374DB">
        <w:rPr>
          <w:vertAlign w:val="superscript"/>
        </w:rPr>
        <w:t>th</w:t>
      </w:r>
      <w:r w:rsidR="004374DB">
        <w:t xml:space="preserve"> </w:t>
      </w:r>
      <w:r w:rsidR="0020588A">
        <w:t xml:space="preserve">day of </w:t>
      </w:r>
      <w:r w:rsidR="00FC7A1A">
        <w:t>October</w:t>
      </w:r>
      <w:r w:rsidR="00B73DAE" w:rsidRPr="00B73DAE">
        <w:t>, 202</w:t>
      </w:r>
      <w:r w:rsidR="000B1CAF">
        <w:t>4</w:t>
      </w:r>
      <w:r w:rsidR="00B73DAE" w:rsidRPr="00B73DAE">
        <w:t>, in accordance with the Commission</w:t>
      </w:r>
      <w:r w:rsidR="000B1CAF">
        <w:t>’</w:t>
      </w:r>
      <w:r w:rsidR="00B73DAE" w:rsidRPr="00B73DAE">
        <w:t xml:space="preserve">s Second Order Suspending Rules issued on July 16, 2020, in </w:t>
      </w:r>
      <w:r w:rsidRPr="00B73DAE">
        <w:t xml:space="preserve">Project No. 50664. </w:t>
      </w:r>
    </w:p>
    <w:p w14:paraId="3A6F4FCC" w14:textId="08C1F465" w:rsidR="007A187F" w:rsidRPr="0005463A" w:rsidRDefault="004374DB" w:rsidP="006603D4">
      <w:pPr>
        <w:pStyle w:val="BodyTextFirstSS"/>
        <w:spacing w:after="480"/>
        <w:ind w:left="5040" w:firstLine="0"/>
      </w:pPr>
      <w:r w:rsidRPr="004374DB">
        <w:rPr>
          <w:rFonts w:asciiTheme="majorBidi" w:hAnsiTheme="majorBidi" w:cstheme="majorBidi"/>
          <w:i/>
          <w:iCs/>
          <w:szCs w:val="24"/>
          <w:u w:val="single"/>
        </w:rPr>
        <w:t>/s/ Stephanie Tenorio</w:t>
      </w:r>
    </w:p>
    <w:sectPr w:rsidR="007A187F" w:rsidRPr="0005463A" w:rsidSect="005F308A">
      <w:footerReference w:type="default" r:id="rId12"/>
      <w:headerReference w:type="first" r:id="rId13"/>
      <w:footerReference w:type="first" r:id="rId14"/>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65BD" w14:textId="77777777" w:rsidR="000A39CF" w:rsidRDefault="000A39CF">
      <w:r>
        <w:separator/>
      </w:r>
    </w:p>
  </w:endnote>
  <w:endnote w:type="continuationSeparator" w:id="0">
    <w:p w14:paraId="018142E9" w14:textId="77777777" w:rsidR="000A39CF" w:rsidRDefault="000A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C4C2B" w14:textId="0D011552" w:rsidR="00705EFE" w:rsidRDefault="00CA5C97" w:rsidP="0036425C">
    <w:pPr>
      <w:pStyle w:val="Footer"/>
      <w:jc w:val="center"/>
    </w:pPr>
    <w:r>
      <w:fldChar w:fldCharType="begin"/>
    </w:r>
    <w:r>
      <w:instrText xml:space="preserve"> PAGE   \* MERGEFORMAT </w:instrText>
    </w:r>
    <w:r>
      <w:fldChar w:fldCharType="separate"/>
    </w:r>
    <w:r w:rsidR="006C5FEF">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5E040" w14:textId="77777777" w:rsidR="00705EFE" w:rsidRDefault="00CA5C97" w:rsidP="00E82A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5DC69" w14:textId="77777777" w:rsidR="000A39CF" w:rsidRDefault="000A39CF">
      <w:r>
        <w:separator/>
      </w:r>
    </w:p>
  </w:footnote>
  <w:footnote w:type="continuationSeparator" w:id="0">
    <w:p w14:paraId="6C10FB33" w14:textId="77777777" w:rsidR="000A39CF" w:rsidRDefault="000A39CF">
      <w:r>
        <w:continuationSeparator/>
      </w:r>
    </w:p>
  </w:footnote>
  <w:footnote w:id="1">
    <w:p w14:paraId="376AD9ED" w14:textId="7F785D75" w:rsidR="00290E09" w:rsidRPr="007D387A" w:rsidRDefault="00290E09" w:rsidP="0021632E">
      <w:pPr>
        <w:pStyle w:val="FootnoteText"/>
        <w:spacing w:after="120"/>
        <w:ind w:firstLine="720"/>
      </w:pPr>
      <w:r w:rsidRPr="007D387A">
        <w:rPr>
          <w:rStyle w:val="FootnoteReference"/>
        </w:rPr>
        <w:footnoteRef/>
      </w:r>
      <w:r w:rsidRPr="007D387A">
        <w:t xml:space="preserve"> In a memorandum dated </w:t>
      </w:r>
      <w:r w:rsidR="00794540" w:rsidRPr="007D387A">
        <w:t>October 9</w:t>
      </w:r>
      <w:r w:rsidRPr="007D387A">
        <w:t xml:space="preserve">, 2024, Commission Counsel set </w:t>
      </w:r>
      <w:r w:rsidR="00794540" w:rsidRPr="007D387A">
        <w:t>October 18</w:t>
      </w:r>
      <w:r w:rsidRPr="007D387A">
        <w:t xml:space="preserve">, 2024 as the deadline for filing </w:t>
      </w:r>
      <w:r w:rsidR="0020588A" w:rsidRPr="007D387A">
        <w:t xml:space="preserve">Replies to </w:t>
      </w:r>
      <w:r w:rsidRPr="007D387A">
        <w:t xml:space="preserve">Exceptions.  </w:t>
      </w:r>
    </w:p>
  </w:footnote>
  <w:footnote w:id="2">
    <w:p w14:paraId="173EA4EC" w14:textId="279CF63C" w:rsidR="00255711" w:rsidRPr="007D387A" w:rsidRDefault="00255711" w:rsidP="0021632E">
      <w:pPr>
        <w:pStyle w:val="FootnoteText"/>
        <w:spacing w:after="120"/>
        <w:ind w:firstLine="720"/>
        <w:rPr>
          <w:b/>
          <w:bCs/>
        </w:rPr>
      </w:pPr>
      <w:r w:rsidRPr="007D387A">
        <w:rPr>
          <w:rStyle w:val="FootnoteReference"/>
        </w:rPr>
        <w:footnoteRef/>
      </w:r>
      <w:r w:rsidRPr="007D387A">
        <w:t xml:space="preserve"> Public Utility Regulatory Act, Tex. Util. Code §§ 11.001-66.016 (“PURA”) at § 36.210(a)</w:t>
      </w:r>
      <w:r w:rsidR="006A7254" w:rsidRPr="007D387A">
        <w:t>.</w:t>
      </w:r>
    </w:p>
  </w:footnote>
  <w:footnote w:id="3">
    <w:p w14:paraId="1D062806" w14:textId="6C4DEC7F" w:rsidR="00255711" w:rsidRPr="00794540" w:rsidRDefault="00255711" w:rsidP="0021632E">
      <w:pPr>
        <w:pStyle w:val="FootnoteText"/>
        <w:spacing w:after="120"/>
        <w:ind w:firstLine="720"/>
        <w:rPr>
          <w:highlight w:val="yellow"/>
        </w:rPr>
      </w:pPr>
      <w:r w:rsidRPr="007D387A">
        <w:rPr>
          <w:rStyle w:val="FootnoteReference"/>
        </w:rPr>
        <w:footnoteRef/>
      </w:r>
      <w:r w:rsidRPr="007D387A">
        <w:t xml:space="preserve"> </w:t>
      </w:r>
      <w:r w:rsidRPr="007D387A">
        <w:rPr>
          <w:i/>
          <w:iCs/>
        </w:rPr>
        <w:t>See</w:t>
      </w:r>
      <w:r w:rsidRPr="007D387A">
        <w:t xml:space="preserve"> 16 TAC § 25.243(e)(5).</w:t>
      </w:r>
    </w:p>
  </w:footnote>
  <w:footnote w:id="4">
    <w:p w14:paraId="0F31518A" w14:textId="35EA2AF8" w:rsidR="00B542C2" w:rsidRPr="00391BF5" w:rsidRDefault="00B542C2" w:rsidP="0021632E">
      <w:pPr>
        <w:pStyle w:val="FootnoteText"/>
        <w:spacing w:after="120"/>
        <w:ind w:firstLine="720"/>
      </w:pPr>
      <w:r w:rsidRPr="00391BF5">
        <w:rPr>
          <w:rStyle w:val="FootnoteReference"/>
        </w:rPr>
        <w:footnoteRef/>
      </w:r>
      <w:r w:rsidRPr="00391BF5">
        <w:t xml:space="preserve"> </w:t>
      </w:r>
      <w:r w:rsidRPr="00391BF5">
        <w:rPr>
          <w:i/>
          <w:iCs/>
        </w:rPr>
        <w:t>Application of Oncor Electric Delivery Company LLC for Authority to change Rates</w:t>
      </w:r>
      <w:r w:rsidRPr="00391BF5">
        <w:t>, Docket No. 53601, Order on Rehearing (Jun. 30, 2023), Finding of Fact 367.</w:t>
      </w:r>
    </w:p>
  </w:footnote>
  <w:footnote w:id="5">
    <w:p w14:paraId="09DD99F3" w14:textId="3B0786CD" w:rsidR="004458E7" w:rsidRPr="00391BF5" w:rsidRDefault="004458E7" w:rsidP="0021632E">
      <w:pPr>
        <w:pStyle w:val="FootnoteText"/>
        <w:spacing w:after="120"/>
        <w:ind w:firstLine="720"/>
      </w:pPr>
      <w:r w:rsidRPr="00391BF5">
        <w:rPr>
          <w:rStyle w:val="FootnoteReference"/>
        </w:rPr>
        <w:footnoteRef/>
      </w:r>
      <w:r w:rsidRPr="00391BF5">
        <w:t xml:space="preserve"> </w:t>
      </w:r>
      <w:r w:rsidR="0078725F" w:rsidRPr="00391BF5">
        <w:t xml:space="preserve">Order No. </w:t>
      </w:r>
      <w:r w:rsidR="00391BF5" w:rsidRPr="00391BF5">
        <w:t>8</w:t>
      </w:r>
      <w:r w:rsidR="0078725F" w:rsidRPr="00391BF5">
        <w:t xml:space="preserve"> Admitting </w:t>
      </w:r>
      <w:r w:rsidR="00391BF5" w:rsidRPr="00391BF5">
        <w:t xml:space="preserve">Additional </w:t>
      </w:r>
      <w:r w:rsidR="0078725F" w:rsidRPr="00391BF5">
        <w:t xml:space="preserve">Evidence </w:t>
      </w:r>
      <w:r w:rsidR="00391BF5" w:rsidRPr="00391BF5">
        <w:t>(Oct. 9,</w:t>
      </w:r>
      <w:r w:rsidR="0078725F" w:rsidRPr="00391BF5">
        <w:t xml:space="preserve"> 2024).</w:t>
      </w:r>
    </w:p>
  </w:footnote>
  <w:footnote w:id="6">
    <w:p w14:paraId="12D8B5E0" w14:textId="4DAA96FE" w:rsidR="005C589A" w:rsidRPr="00391BF5" w:rsidRDefault="005C589A" w:rsidP="0021632E">
      <w:pPr>
        <w:pStyle w:val="FootnoteText"/>
        <w:spacing w:after="120"/>
        <w:ind w:firstLine="720"/>
      </w:pPr>
      <w:r w:rsidRPr="00391BF5">
        <w:rPr>
          <w:rStyle w:val="FootnoteReference"/>
        </w:rPr>
        <w:footnoteRef/>
      </w:r>
      <w:r w:rsidRPr="00391BF5">
        <w:t xml:space="preserve"> </w:t>
      </w:r>
      <w:r w:rsidRPr="00391BF5">
        <w:rPr>
          <w:i/>
          <w:iCs/>
        </w:rPr>
        <w:t xml:space="preserve">See Commission Staff’s Recommendation on Final Disposition </w:t>
      </w:r>
      <w:r w:rsidRPr="00391BF5">
        <w:t>(</w:t>
      </w:r>
      <w:r w:rsidR="00047323" w:rsidRPr="00391BF5">
        <w:t>Sept. 16</w:t>
      </w:r>
      <w:r w:rsidRPr="00391BF5">
        <w:t>, 2024),</w:t>
      </w:r>
      <w:r w:rsidR="00047323" w:rsidRPr="00391BF5">
        <w:t xml:space="preserve"> including the attached memoranda,</w:t>
      </w:r>
      <w:r w:rsidRPr="00391BF5">
        <w:t xml:space="preserve"> which recommend</w:t>
      </w:r>
      <w:r w:rsidR="00DA5AC5">
        <w:t>s</w:t>
      </w:r>
      <w:r w:rsidRPr="00391BF5">
        <w:t xml:space="preserve"> approval of </w:t>
      </w:r>
      <w:r w:rsidR="00047323" w:rsidRPr="00391BF5">
        <w:t>Oncor’s DCRF</w:t>
      </w:r>
      <w:r w:rsidRPr="00391BF5">
        <w:t xml:space="preserve"> Application</w:t>
      </w:r>
      <w:r w:rsidR="00047323" w:rsidRPr="00391BF5">
        <w:t xml:space="preserve"> and note</w:t>
      </w:r>
      <w:r w:rsidR="00DA5AC5">
        <w:t>s</w:t>
      </w:r>
      <w:r w:rsidR="00047323" w:rsidRPr="00391BF5">
        <w:t xml:space="preserve"> that the Commission shall reconcile investments recovered through a DCRF proceeding at the utility’s next comprehensive base-rate proceeding.</w:t>
      </w:r>
    </w:p>
  </w:footnote>
  <w:footnote w:id="7">
    <w:p w14:paraId="462C28FA" w14:textId="4EF3302D" w:rsidR="007D387A" w:rsidRPr="00391BF5" w:rsidRDefault="007D387A" w:rsidP="0021632E">
      <w:pPr>
        <w:pStyle w:val="FootnoteText"/>
        <w:spacing w:after="120"/>
        <w:ind w:firstLine="720"/>
      </w:pPr>
      <w:r w:rsidRPr="00391BF5">
        <w:rPr>
          <w:rStyle w:val="FootnoteReference"/>
        </w:rPr>
        <w:footnoteRef/>
      </w:r>
      <w:r w:rsidRPr="00391BF5">
        <w:t xml:space="preserve"> </w:t>
      </w:r>
      <w:r w:rsidR="00CE166F" w:rsidRPr="00CE166F">
        <w:rPr>
          <w:i/>
          <w:iCs/>
        </w:rPr>
        <w:t>See</w:t>
      </w:r>
      <w:r w:rsidR="00CE166F">
        <w:t xml:space="preserve"> </w:t>
      </w:r>
      <w:r w:rsidR="00391BF5" w:rsidRPr="00391BF5">
        <w:t>Steering Committee of Cities Served by Oncor’s Exceptions to the Proposal for Decision</w:t>
      </w:r>
      <w:r w:rsidRPr="00391BF5">
        <w:t xml:space="preserve"> </w:t>
      </w:r>
      <w:r w:rsidR="00391BF5" w:rsidRPr="00391BF5">
        <w:t xml:space="preserve">(Oct. 15, 2024) (“OCSC’s Exceptions”) </w:t>
      </w:r>
      <w:r w:rsidRPr="00391BF5">
        <w:t>at 2 (citing page 3 of the PFD)</w:t>
      </w:r>
      <w:r w:rsidR="00391BF5" w:rsidRPr="00391BF5">
        <w:t>.</w:t>
      </w:r>
    </w:p>
  </w:footnote>
  <w:footnote w:id="8">
    <w:p w14:paraId="289602A7" w14:textId="08D313D5" w:rsidR="007D387A" w:rsidRPr="00391BF5" w:rsidRDefault="007D387A" w:rsidP="0021632E">
      <w:pPr>
        <w:pStyle w:val="FootnoteText"/>
        <w:spacing w:after="120"/>
        <w:ind w:firstLine="720"/>
      </w:pPr>
      <w:r w:rsidRPr="00391BF5">
        <w:rPr>
          <w:rStyle w:val="FootnoteReference"/>
        </w:rPr>
        <w:footnoteRef/>
      </w:r>
      <w:r w:rsidRPr="00391BF5">
        <w:t xml:space="preserve"> </w:t>
      </w:r>
      <w:r w:rsidR="00B542C2" w:rsidRPr="00391BF5">
        <w:t xml:space="preserve">OCSC’s </w:t>
      </w:r>
      <w:r w:rsidRPr="00391BF5">
        <w:t>Exceptions at 2.</w:t>
      </w:r>
    </w:p>
  </w:footnote>
  <w:footnote w:id="9">
    <w:p w14:paraId="1790A31B" w14:textId="742ACCE0" w:rsidR="007D387A" w:rsidRPr="003A312C" w:rsidRDefault="007D387A" w:rsidP="0021632E">
      <w:pPr>
        <w:pStyle w:val="FootnoteText"/>
        <w:spacing w:after="120"/>
        <w:ind w:firstLine="720"/>
      </w:pPr>
      <w:r w:rsidRPr="003A312C">
        <w:rPr>
          <w:rStyle w:val="FootnoteReference"/>
        </w:rPr>
        <w:footnoteRef/>
      </w:r>
      <w:r w:rsidRPr="003A312C">
        <w:t xml:space="preserve"> </w:t>
      </w:r>
      <w:r w:rsidR="00B542C2" w:rsidRPr="003A312C">
        <w:t xml:space="preserve">OCSC’s </w:t>
      </w:r>
      <w:r w:rsidRPr="003A312C">
        <w:t>Exceptions at 1-2.</w:t>
      </w:r>
    </w:p>
  </w:footnote>
  <w:footnote w:id="10">
    <w:p w14:paraId="037529CE" w14:textId="3A8B2DAA" w:rsidR="00600A39" w:rsidRPr="003A312C" w:rsidRDefault="00600A39" w:rsidP="0021632E">
      <w:pPr>
        <w:pStyle w:val="FootnoteText"/>
        <w:spacing w:after="120"/>
        <w:ind w:firstLine="720"/>
      </w:pPr>
      <w:r w:rsidRPr="003A312C">
        <w:rPr>
          <w:rStyle w:val="FootnoteReference"/>
        </w:rPr>
        <w:footnoteRef/>
      </w:r>
      <w:r w:rsidRPr="003A312C">
        <w:t xml:space="preserve"> </w:t>
      </w:r>
      <w:r w:rsidRPr="003A312C">
        <w:rPr>
          <w:i/>
          <w:iCs/>
        </w:rPr>
        <w:t>See</w:t>
      </w:r>
      <w:r w:rsidRPr="003A312C">
        <w:t xml:space="preserve"> PFD at 2-3 (citing the Direct Testimony of Karl J. </w:t>
      </w:r>
      <w:proofErr w:type="spellStart"/>
      <w:r w:rsidRPr="003A312C">
        <w:t>Nalepa</w:t>
      </w:r>
      <w:proofErr w:type="spellEnd"/>
      <w:r w:rsidRPr="003A312C">
        <w:t xml:space="preserve"> at 7-8, 13, and 17).</w:t>
      </w:r>
    </w:p>
  </w:footnote>
  <w:footnote w:id="11">
    <w:p w14:paraId="22134EB1" w14:textId="0B822767" w:rsidR="00E72ED4" w:rsidRPr="003A312C" w:rsidRDefault="00E72ED4" w:rsidP="0021632E">
      <w:pPr>
        <w:pStyle w:val="FootnoteText"/>
        <w:spacing w:after="120"/>
        <w:ind w:firstLine="720"/>
      </w:pPr>
      <w:r w:rsidRPr="003A312C">
        <w:rPr>
          <w:rStyle w:val="FootnoteReference"/>
        </w:rPr>
        <w:footnoteRef/>
      </w:r>
      <w:r w:rsidRPr="003A312C">
        <w:t xml:space="preserve"> </w:t>
      </w:r>
      <w:r w:rsidRPr="003A312C">
        <w:rPr>
          <w:i/>
          <w:iCs/>
        </w:rPr>
        <w:t>See</w:t>
      </w:r>
      <w:r w:rsidRPr="003A312C">
        <w:t xml:space="preserve"> PFD at 3 (citing the Rebuttal Testimony of Coler D. Snelleman at 3).</w:t>
      </w:r>
    </w:p>
  </w:footnote>
  <w:footnote w:id="12">
    <w:p w14:paraId="04F06C3F" w14:textId="34BE4C12" w:rsidR="00DC6FFE" w:rsidRPr="003A312C" w:rsidRDefault="00DC6FFE" w:rsidP="0021632E">
      <w:pPr>
        <w:pStyle w:val="FootnoteText"/>
        <w:spacing w:after="120"/>
        <w:ind w:firstLine="720"/>
      </w:pPr>
      <w:r w:rsidRPr="003A312C">
        <w:rPr>
          <w:rStyle w:val="FootnoteReference"/>
        </w:rPr>
        <w:footnoteRef/>
      </w:r>
      <w:r w:rsidRPr="003A312C">
        <w:t xml:space="preserve"> </w:t>
      </w:r>
      <w:r w:rsidR="003A312C" w:rsidRPr="003A312C">
        <w:rPr>
          <w:i/>
          <w:iCs/>
        </w:rPr>
        <w:t>See</w:t>
      </w:r>
      <w:r w:rsidR="003A312C">
        <w:t xml:space="preserve"> the </w:t>
      </w:r>
      <w:r w:rsidRPr="003A312C">
        <w:t xml:space="preserve">Direct </w:t>
      </w:r>
      <w:r w:rsidR="003A312C" w:rsidRPr="003A312C">
        <w:t xml:space="preserve">Testimony of Coler D. Snelleman </w:t>
      </w:r>
      <w:r w:rsidRPr="003A312C">
        <w:t>at Bates 130-132</w:t>
      </w:r>
      <w:r w:rsidR="0021632E" w:rsidRPr="003A312C">
        <w:t xml:space="preserve">; </w:t>
      </w:r>
      <w:r w:rsidRPr="003A312C">
        <w:t xml:space="preserve">Rebuttal </w:t>
      </w:r>
      <w:r w:rsidR="0021632E" w:rsidRPr="003A312C">
        <w:t xml:space="preserve">Testimony of Coler D. Snelleman </w:t>
      </w:r>
      <w:r w:rsidRPr="003A312C">
        <w:t>at 3</w:t>
      </w:r>
      <w:r w:rsidR="0021632E" w:rsidRPr="003A312C">
        <w:t>.</w:t>
      </w:r>
    </w:p>
  </w:footnote>
  <w:footnote w:id="13">
    <w:p w14:paraId="4A0DA495" w14:textId="22960DE5" w:rsidR="00DC6FFE" w:rsidRDefault="00DC6FFE" w:rsidP="0021632E">
      <w:pPr>
        <w:pStyle w:val="FootnoteText"/>
        <w:spacing w:after="120"/>
        <w:ind w:firstLine="720"/>
      </w:pPr>
      <w:r w:rsidRPr="003A312C">
        <w:rPr>
          <w:rStyle w:val="FootnoteReference"/>
        </w:rPr>
        <w:footnoteRef/>
      </w:r>
      <w:r w:rsidRPr="003A312C">
        <w:t xml:space="preserve"> Rebuttal </w:t>
      </w:r>
      <w:r w:rsidR="0021632E" w:rsidRPr="003A312C">
        <w:t xml:space="preserve">Testimony of Coler D. </w:t>
      </w:r>
      <w:r w:rsidRPr="003A312C">
        <w:t>Snelleman at 4-5</w:t>
      </w:r>
      <w:r w:rsidR="0021632E" w:rsidRPr="003A312C">
        <w:t>.</w:t>
      </w:r>
    </w:p>
  </w:footnote>
  <w:footnote w:id="14">
    <w:p w14:paraId="09A5C1B5" w14:textId="246FCF09" w:rsidR="003C67BA" w:rsidRDefault="003C67BA" w:rsidP="0021632E">
      <w:pPr>
        <w:pStyle w:val="FootnoteText"/>
        <w:spacing w:after="120"/>
        <w:ind w:firstLine="720"/>
      </w:pPr>
      <w:r>
        <w:rPr>
          <w:rStyle w:val="FootnoteReference"/>
        </w:rPr>
        <w:footnoteRef/>
      </w:r>
      <w:r>
        <w:t xml:space="preserve"> </w:t>
      </w:r>
      <w:r w:rsidR="00391BF5">
        <w:t xml:space="preserve">OCSC’s </w:t>
      </w:r>
      <w:r>
        <w:t>Exceptions at 2.</w:t>
      </w:r>
    </w:p>
  </w:footnote>
  <w:footnote w:id="15">
    <w:p w14:paraId="6C2C22E7" w14:textId="0E880879" w:rsidR="003C67BA" w:rsidRDefault="003C67BA" w:rsidP="0021632E">
      <w:pPr>
        <w:pStyle w:val="FootnoteText"/>
        <w:spacing w:after="120"/>
        <w:ind w:firstLine="720"/>
      </w:pPr>
      <w:r>
        <w:rPr>
          <w:rStyle w:val="FootnoteReference"/>
        </w:rPr>
        <w:footnoteRef/>
      </w:r>
      <w:r>
        <w:t xml:space="preserve"> </w:t>
      </w:r>
      <w:r w:rsidRPr="00391BF5">
        <w:rPr>
          <w:i/>
          <w:iCs/>
        </w:rPr>
        <w:t>Id</w:t>
      </w:r>
      <w:r>
        <w:t>.</w:t>
      </w:r>
    </w:p>
  </w:footnote>
  <w:footnote w:id="16">
    <w:p w14:paraId="6DD9A463" w14:textId="23437936" w:rsidR="0021632E" w:rsidRDefault="0021632E" w:rsidP="0021632E">
      <w:pPr>
        <w:pStyle w:val="FootnoteText"/>
        <w:spacing w:after="120"/>
        <w:ind w:firstLine="720"/>
      </w:pPr>
      <w:r>
        <w:rPr>
          <w:rStyle w:val="FootnoteReference"/>
        </w:rPr>
        <w:footnoteRef/>
      </w:r>
      <w:r>
        <w:t xml:space="preserve"> PFD at 3 (citing the Rebuttal Testimony of Coler D. Snelleman at 3).</w:t>
      </w:r>
    </w:p>
  </w:footnote>
  <w:footnote w:id="17">
    <w:p w14:paraId="718D385B" w14:textId="30566B44" w:rsidR="002F389B" w:rsidRDefault="002F389B" w:rsidP="0021632E">
      <w:pPr>
        <w:pStyle w:val="FootnoteText"/>
        <w:spacing w:after="120"/>
        <w:ind w:firstLine="720"/>
      </w:pPr>
      <w:r>
        <w:rPr>
          <w:rStyle w:val="FootnoteReference"/>
        </w:rPr>
        <w:footnoteRef/>
      </w:r>
      <w:r>
        <w:t xml:space="preserve"> </w:t>
      </w:r>
      <w:r w:rsidRPr="002F389B">
        <w:rPr>
          <w:i/>
          <w:iCs/>
        </w:rPr>
        <w:t>See</w:t>
      </w:r>
      <w:r>
        <w:t xml:space="preserve"> </w:t>
      </w:r>
      <w:r w:rsidR="00391BF5">
        <w:t xml:space="preserve">OCSC’s </w:t>
      </w:r>
      <w:r>
        <w:t xml:space="preserve">Exceptions at </w:t>
      </w:r>
      <w:r w:rsidR="0021632E">
        <w:t>2</w:t>
      </w:r>
      <w:r>
        <w:t>.</w:t>
      </w:r>
    </w:p>
  </w:footnote>
  <w:footnote w:id="18">
    <w:p w14:paraId="4878CD9D" w14:textId="3BDD552F" w:rsidR="002F389B" w:rsidRDefault="002F389B" w:rsidP="0021632E">
      <w:pPr>
        <w:pStyle w:val="FootnoteText"/>
        <w:spacing w:after="120"/>
        <w:ind w:firstLine="720"/>
      </w:pPr>
      <w:r>
        <w:rPr>
          <w:rStyle w:val="FootnoteReference"/>
        </w:rPr>
        <w:footnoteRef/>
      </w:r>
      <w:r>
        <w:t xml:space="preserve"> </w:t>
      </w:r>
      <w:r w:rsidR="00391BF5">
        <w:t xml:space="preserve">OCSC’s </w:t>
      </w:r>
      <w:r>
        <w:t xml:space="preserve">Exceptions at 3; </w:t>
      </w:r>
      <w:r w:rsidRPr="002F389B">
        <w:rPr>
          <w:i/>
          <w:iCs/>
        </w:rPr>
        <w:t>see also</w:t>
      </w:r>
      <w:r>
        <w:t xml:space="preserve"> the Direct Testimony of Karl J. </w:t>
      </w:r>
      <w:proofErr w:type="spellStart"/>
      <w:r>
        <w:t>Nalepa</w:t>
      </w:r>
      <w:proofErr w:type="spellEnd"/>
      <w:r>
        <w:t xml:space="preserve"> at </w:t>
      </w:r>
      <w:r w:rsidR="00047323">
        <w:t xml:space="preserve">9, 14, </w:t>
      </w:r>
      <w:r w:rsidR="00CE166F">
        <w:t xml:space="preserve">and </w:t>
      </w:r>
      <w:r w:rsidR="00047323">
        <w:t>19.</w:t>
      </w:r>
    </w:p>
  </w:footnote>
  <w:footnote w:id="19">
    <w:p w14:paraId="59AB25CD" w14:textId="261BBA2B" w:rsidR="00047323" w:rsidRDefault="00047323" w:rsidP="0021632E">
      <w:pPr>
        <w:pStyle w:val="FootnoteText"/>
        <w:spacing w:after="120"/>
        <w:ind w:firstLine="720"/>
      </w:pPr>
      <w:r>
        <w:rPr>
          <w:rStyle w:val="FootnoteReference"/>
        </w:rPr>
        <w:footnoteRef/>
      </w:r>
      <w:r>
        <w:t xml:space="preserve"> </w:t>
      </w:r>
      <w:r w:rsidRPr="00047323">
        <w:rPr>
          <w:i/>
          <w:iCs/>
        </w:rPr>
        <w:t>See</w:t>
      </w:r>
      <w:r>
        <w:t xml:space="preserve"> the Direct Testimony of Karl J. </w:t>
      </w:r>
      <w:proofErr w:type="spellStart"/>
      <w:r>
        <w:t>Nalepa</w:t>
      </w:r>
      <w:proofErr w:type="spellEnd"/>
      <w:r>
        <w:t xml:space="preserve"> at 10, 15, </w:t>
      </w:r>
      <w:r w:rsidR="00CE166F">
        <w:t xml:space="preserve">and </w:t>
      </w:r>
      <w:r>
        <w:t>19.</w:t>
      </w:r>
    </w:p>
  </w:footnote>
  <w:footnote w:id="20">
    <w:p w14:paraId="65921535" w14:textId="374C97A7" w:rsidR="00B542C2" w:rsidRDefault="00B542C2" w:rsidP="0021632E">
      <w:pPr>
        <w:pStyle w:val="FootnoteText"/>
        <w:spacing w:after="120"/>
        <w:ind w:firstLine="720"/>
      </w:pPr>
      <w:r>
        <w:rPr>
          <w:rStyle w:val="FootnoteReference"/>
        </w:rPr>
        <w:footnoteRef/>
      </w:r>
      <w:r>
        <w:t xml:space="preserve"> </w:t>
      </w:r>
      <w:r w:rsidRPr="00CE166F">
        <w:rPr>
          <w:i/>
          <w:iCs/>
        </w:rPr>
        <w:t>See</w:t>
      </w:r>
      <w:r>
        <w:t xml:space="preserve"> the Direct Testimony of W. Alan Ledbetter at 5-6 (citing the 48-month schedule discussed in 16 TAC § 25.247).</w:t>
      </w:r>
    </w:p>
  </w:footnote>
  <w:footnote w:id="21">
    <w:p w14:paraId="781C34D0" w14:textId="502D936E" w:rsidR="00B9741D" w:rsidRDefault="00B9741D" w:rsidP="0021632E">
      <w:pPr>
        <w:pStyle w:val="FootnoteText"/>
        <w:spacing w:after="120"/>
        <w:ind w:firstLine="720"/>
      </w:pPr>
      <w:r>
        <w:rPr>
          <w:rStyle w:val="FootnoteReference"/>
        </w:rPr>
        <w:footnoteRef/>
      </w:r>
      <w:r>
        <w:t xml:space="preserve"> PFD at 3; </w:t>
      </w:r>
      <w:r>
        <w:rPr>
          <w:i/>
          <w:iCs/>
        </w:rPr>
        <w:t>see also</w:t>
      </w:r>
      <w:r>
        <w:t xml:space="preserve"> PFD at Conclusion of Law 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B53A1" w14:textId="77777777" w:rsidR="00705EFE" w:rsidRDefault="00CA5C97" w:rsidP="00DB6150">
    <w:pPr>
      <w:pStyle w:val="Header"/>
      <w:jc w:val="right"/>
    </w:pPr>
    <w:r>
      <w:rPr>
        <w:b/>
      </w:rPr>
      <w:t>DRAFT</w:t>
    </w:r>
  </w:p>
  <w:p w14:paraId="4E242C6B" w14:textId="77777777" w:rsidR="00705EFE" w:rsidRPr="00DB6150" w:rsidRDefault="00CA5C97" w:rsidP="00DB6150">
    <w:pPr>
      <w:pStyle w:val="Header"/>
      <w:jc w:val="right"/>
    </w:pPr>
    <w:r w:rsidRPr="00DB6150">
      <w:t>05.21.17</w:t>
    </w:r>
  </w:p>
  <w:p w14:paraId="5CC8D20C" w14:textId="77777777" w:rsidR="00705EFE" w:rsidRPr="00DB6150" w:rsidRDefault="00705EFE" w:rsidP="00DB61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4985B3C"/>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9B6E618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19926F20"/>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55EB4F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4318603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160434"/>
    <w:multiLevelType w:val="multilevel"/>
    <w:tmpl w:val="C5DAB85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1E5665C"/>
    <w:multiLevelType w:val="hybridMultilevel"/>
    <w:tmpl w:val="35AA324A"/>
    <w:lvl w:ilvl="0" w:tplc="F1D4F74A">
      <w:start w:val="1"/>
      <w:numFmt w:val="decimal"/>
      <w:lvlText w:val="%1."/>
      <w:lvlJc w:val="left"/>
      <w:pPr>
        <w:ind w:left="1350" w:hanging="360"/>
      </w:pPr>
    </w:lvl>
    <w:lvl w:ilvl="1" w:tplc="7A6A9A9A">
      <w:start w:val="1"/>
      <w:numFmt w:val="lowerLetter"/>
      <w:lvlText w:val="%2."/>
      <w:lvlJc w:val="left"/>
      <w:pPr>
        <w:ind w:left="2280" w:hanging="360"/>
      </w:pPr>
    </w:lvl>
    <w:lvl w:ilvl="2" w:tplc="7F902B28">
      <w:start w:val="1"/>
      <w:numFmt w:val="lowerRoman"/>
      <w:lvlText w:val="%3."/>
      <w:lvlJc w:val="right"/>
      <w:pPr>
        <w:ind w:left="3000" w:hanging="180"/>
      </w:pPr>
    </w:lvl>
    <w:lvl w:ilvl="3" w:tplc="EA708B8C" w:tentative="1">
      <w:start w:val="1"/>
      <w:numFmt w:val="decimal"/>
      <w:lvlText w:val="%4."/>
      <w:lvlJc w:val="left"/>
      <w:pPr>
        <w:ind w:left="3720" w:hanging="360"/>
      </w:pPr>
    </w:lvl>
    <w:lvl w:ilvl="4" w:tplc="0AF47546" w:tentative="1">
      <w:start w:val="1"/>
      <w:numFmt w:val="lowerLetter"/>
      <w:lvlText w:val="%5."/>
      <w:lvlJc w:val="left"/>
      <w:pPr>
        <w:ind w:left="4440" w:hanging="360"/>
      </w:pPr>
    </w:lvl>
    <w:lvl w:ilvl="5" w:tplc="8DC8C664" w:tentative="1">
      <w:start w:val="1"/>
      <w:numFmt w:val="lowerRoman"/>
      <w:lvlText w:val="%6."/>
      <w:lvlJc w:val="right"/>
      <w:pPr>
        <w:ind w:left="5160" w:hanging="180"/>
      </w:pPr>
    </w:lvl>
    <w:lvl w:ilvl="6" w:tplc="6A5828CE" w:tentative="1">
      <w:start w:val="1"/>
      <w:numFmt w:val="decimal"/>
      <w:lvlText w:val="%7."/>
      <w:lvlJc w:val="left"/>
      <w:pPr>
        <w:ind w:left="5880" w:hanging="360"/>
      </w:pPr>
    </w:lvl>
    <w:lvl w:ilvl="7" w:tplc="C46E6C7C" w:tentative="1">
      <w:start w:val="1"/>
      <w:numFmt w:val="lowerLetter"/>
      <w:lvlText w:val="%8."/>
      <w:lvlJc w:val="left"/>
      <w:pPr>
        <w:ind w:left="6600" w:hanging="360"/>
      </w:pPr>
    </w:lvl>
    <w:lvl w:ilvl="8" w:tplc="2856DC16" w:tentative="1">
      <w:start w:val="1"/>
      <w:numFmt w:val="lowerRoman"/>
      <w:lvlText w:val="%9."/>
      <w:lvlJc w:val="right"/>
      <w:pPr>
        <w:ind w:left="7320" w:hanging="180"/>
      </w:pPr>
    </w:lvl>
  </w:abstractNum>
  <w:abstractNum w:abstractNumId="7" w15:restartNumberingAfterBreak="0">
    <w:nsid w:val="03446A2E"/>
    <w:multiLevelType w:val="multilevel"/>
    <w:tmpl w:val="2522071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679086E"/>
    <w:multiLevelType w:val="hybridMultilevel"/>
    <w:tmpl w:val="4B7E80F2"/>
    <w:lvl w:ilvl="0" w:tplc="F552CB1A">
      <w:start w:val="1"/>
      <w:numFmt w:val="decimal"/>
      <w:lvlText w:val="%1."/>
      <w:lvlJc w:val="left"/>
      <w:pPr>
        <w:tabs>
          <w:tab w:val="num" w:pos="1440"/>
        </w:tabs>
        <w:ind w:left="1440" w:hanging="360"/>
      </w:pPr>
      <w:rPr>
        <w:rFonts w:hint="default"/>
      </w:rPr>
    </w:lvl>
    <w:lvl w:ilvl="1" w:tplc="5F325F88" w:tentative="1">
      <w:start w:val="1"/>
      <w:numFmt w:val="lowerLetter"/>
      <w:lvlText w:val="%2."/>
      <w:lvlJc w:val="left"/>
      <w:pPr>
        <w:ind w:left="1440" w:hanging="360"/>
      </w:pPr>
    </w:lvl>
    <w:lvl w:ilvl="2" w:tplc="69B821D0" w:tentative="1">
      <w:start w:val="1"/>
      <w:numFmt w:val="lowerRoman"/>
      <w:lvlText w:val="%3."/>
      <w:lvlJc w:val="right"/>
      <w:pPr>
        <w:ind w:left="2160" w:hanging="180"/>
      </w:pPr>
    </w:lvl>
    <w:lvl w:ilvl="3" w:tplc="77F2DE24" w:tentative="1">
      <w:start w:val="1"/>
      <w:numFmt w:val="decimal"/>
      <w:lvlText w:val="%4."/>
      <w:lvlJc w:val="left"/>
      <w:pPr>
        <w:ind w:left="2880" w:hanging="360"/>
      </w:pPr>
    </w:lvl>
    <w:lvl w:ilvl="4" w:tplc="D06405B4" w:tentative="1">
      <w:start w:val="1"/>
      <w:numFmt w:val="lowerLetter"/>
      <w:lvlText w:val="%5."/>
      <w:lvlJc w:val="left"/>
      <w:pPr>
        <w:ind w:left="3600" w:hanging="360"/>
      </w:pPr>
    </w:lvl>
    <w:lvl w:ilvl="5" w:tplc="0A70CE4E" w:tentative="1">
      <w:start w:val="1"/>
      <w:numFmt w:val="lowerRoman"/>
      <w:lvlText w:val="%6."/>
      <w:lvlJc w:val="right"/>
      <w:pPr>
        <w:ind w:left="4320" w:hanging="180"/>
      </w:pPr>
    </w:lvl>
    <w:lvl w:ilvl="6" w:tplc="445E2650" w:tentative="1">
      <w:start w:val="1"/>
      <w:numFmt w:val="decimal"/>
      <w:lvlText w:val="%7."/>
      <w:lvlJc w:val="left"/>
      <w:pPr>
        <w:ind w:left="5040" w:hanging="360"/>
      </w:pPr>
    </w:lvl>
    <w:lvl w:ilvl="7" w:tplc="2BB64028" w:tentative="1">
      <w:start w:val="1"/>
      <w:numFmt w:val="lowerLetter"/>
      <w:lvlText w:val="%8."/>
      <w:lvlJc w:val="left"/>
      <w:pPr>
        <w:ind w:left="5760" w:hanging="360"/>
      </w:pPr>
    </w:lvl>
    <w:lvl w:ilvl="8" w:tplc="C2386022" w:tentative="1">
      <w:start w:val="1"/>
      <w:numFmt w:val="lowerRoman"/>
      <w:lvlText w:val="%9."/>
      <w:lvlJc w:val="right"/>
      <w:pPr>
        <w:ind w:left="6480" w:hanging="180"/>
      </w:pPr>
    </w:lvl>
  </w:abstractNum>
  <w:abstractNum w:abstractNumId="9" w15:restartNumberingAfterBreak="0">
    <w:nsid w:val="14D019A0"/>
    <w:multiLevelType w:val="multilevel"/>
    <w:tmpl w:val="2522071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B16408"/>
    <w:multiLevelType w:val="hybridMultilevel"/>
    <w:tmpl w:val="9FA633C6"/>
    <w:lvl w:ilvl="0" w:tplc="3E966A16">
      <w:start w:val="1"/>
      <w:numFmt w:val="bullet"/>
      <w:lvlText w:val=""/>
      <w:lvlJc w:val="left"/>
      <w:pPr>
        <w:tabs>
          <w:tab w:val="num" w:pos="360"/>
        </w:tabs>
        <w:ind w:left="0" w:firstLine="0"/>
      </w:pPr>
      <w:rPr>
        <w:rFonts w:ascii="Symbol" w:hAnsi="Symbol" w:hint="default"/>
      </w:rPr>
    </w:lvl>
    <w:lvl w:ilvl="1" w:tplc="69D69FC6" w:tentative="1">
      <w:start w:val="1"/>
      <w:numFmt w:val="bullet"/>
      <w:lvlText w:val="o"/>
      <w:lvlJc w:val="left"/>
      <w:pPr>
        <w:tabs>
          <w:tab w:val="num" w:pos="1440"/>
        </w:tabs>
        <w:ind w:left="1440" w:hanging="360"/>
      </w:pPr>
      <w:rPr>
        <w:rFonts w:ascii="Courier New" w:hAnsi="Courier New" w:cs="Courier New" w:hint="default"/>
      </w:rPr>
    </w:lvl>
    <w:lvl w:ilvl="2" w:tplc="0B121BBA" w:tentative="1">
      <w:start w:val="1"/>
      <w:numFmt w:val="bullet"/>
      <w:lvlText w:val=""/>
      <w:lvlJc w:val="left"/>
      <w:pPr>
        <w:tabs>
          <w:tab w:val="num" w:pos="2160"/>
        </w:tabs>
        <w:ind w:left="2160" w:hanging="360"/>
      </w:pPr>
      <w:rPr>
        <w:rFonts w:ascii="Wingdings" w:hAnsi="Wingdings" w:hint="default"/>
      </w:rPr>
    </w:lvl>
    <w:lvl w:ilvl="3" w:tplc="087257C0" w:tentative="1">
      <w:start w:val="1"/>
      <w:numFmt w:val="bullet"/>
      <w:lvlText w:val=""/>
      <w:lvlJc w:val="left"/>
      <w:pPr>
        <w:tabs>
          <w:tab w:val="num" w:pos="2880"/>
        </w:tabs>
        <w:ind w:left="2880" w:hanging="360"/>
      </w:pPr>
      <w:rPr>
        <w:rFonts w:ascii="Symbol" w:hAnsi="Symbol" w:hint="default"/>
      </w:rPr>
    </w:lvl>
    <w:lvl w:ilvl="4" w:tplc="BA888ADA" w:tentative="1">
      <w:start w:val="1"/>
      <w:numFmt w:val="bullet"/>
      <w:lvlText w:val="o"/>
      <w:lvlJc w:val="left"/>
      <w:pPr>
        <w:tabs>
          <w:tab w:val="num" w:pos="3600"/>
        </w:tabs>
        <w:ind w:left="3600" w:hanging="360"/>
      </w:pPr>
      <w:rPr>
        <w:rFonts w:ascii="Courier New" w:hAnsi="Courier New" w:cs="Courier New" w:hint="default"/>
      </w:rPr>
    </w:lvl>
    <w:lvl w:ilvl="5" w:tplc="2DACAC7E" w:tentative="1">
      <w:start w:val="1"/>
      <w:numFmt w:val="bullet"/>
      <w:lvlText w:val=""/>
      <w:lvlJc w:val="left"/>
      <w:pPr>
        <w:tabs>
          <w:tab w:val="num" w:pos="4320"/>
        </w:tabs>
        <w:ind w:left="4320" w:hanging="360"/>
      </w:pPr>
      <w:rPr>
        <w:rFonts w:ascii="Wingdings" w:hAnsi="Wingdings" w:hint="default"/>
      </w:rPr>
    </w:lvl>
    <w:lvl w:ilvl="6" w:tplc="FC249424" w:tentative="1">
      <w:start w:val="1"/>
      <w:numFmt w:val="bullet"/>
      <w:lvlText w:val=""/>
      <w:lvlJc w:val="left"/>
      <w:pPr>
        <w:tabs>
          <w:tab w:val="num" w:pos="5040"/>
        </w:tabs>
        <w:ind w:left="5040" w:hanging="360"/>
      </w:pPr>
      <w:rPr>
        <w:rFonts w:ascii="Symbol" w:hAnsi="Symbol" w:hint="default"/>
      </w:rPr>
    </w:lvl>
    <w:lvl w:ilvl="7" w:tplc="C13C9036" w:tentative="1">
      <w:start w:val="1"/>
      <w:numFmt w:val="bullet"/>
      <w:lvlText w:val="o"/>
      <w:lvlJc w:val="left"/>
      <w:pPr>
        <w:tabs>
          <w:tab w:val="num" w:pos="5760"/>
        </w:tabs>
        <w:ind w:left="5760" w:hanging="360"/>
      </w:pPr>
      <w:rPr>
        <w:rFonts w:ascii="Courier New" w:hAnsi="Courier New" w:cs="Courier New" w:hint="default"/>
      </w:rPr>
    </w:lvl>
    <w:lvl w:ilvl="8" w:tplc="FB687A8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BE62AF"/>
    <w:multiLevelType w:val="hybridMultilevel"/>
    <w:tmpl w:val="5FC0E712"/>
    <w:lvl w:ilvl="0" w:tplc="B8E4A0E8">
      <w:start w:val="1"/>
      <w:numFmt w:val="lowerLetter"/>
      <w:lvlText w:val="%1."/>
      <w:lvlJc w:val="left"/>
      <w:pPr>
        <w:ind w:left="2280" w:hanging="360"/>
      </w:pPr>
      <w:rPr>
        <w:rFonts w:hint="default"/>
      </w:rPr>
    </w:lvl>
    <w:lvl w:ilvl="1" w:tplc="572450FC" w:tentative="1">
      <w:start w:val="1"/>
      <w:numFmt w:val="lowerLetter"/>
      <w:lvlText w:val="%2."/>
      <w:lvlJc w:val="left"/>
      <w:pPr>
        <w:ind w:left="1440" w:hanging="360"/>
      </w:pPr>
    </w:lvl>
    <w:lvl w:ilvl="2" w:tplc="2BBA07A0" w:tentative="1">
      <w:start w:val="1"/>
      <w:numFmt w:val="lowerRoman"/>
      <w:lvlText w:val="%3."/>
      <w:lvlJc w:val="right"/>
      <w:pPr>
        <w:ind w:left="2160" w:hanging="180"/>
      </w:pPr>
    </w:lvl>
    <w:lvl w:ilvl="3" w:tplc="CAF6E9BA" w:tentative="1">
      <w:start w:val="1"/>
      <w:numFmt w:val="decimal"/>
      <w:lvlText w:val="%4."/>
      <w:lvlJc w:val="left"/>
      <w:pPr>
        <w:ind w:left="2880" w:hanging="360"/>
      </w:pPr>
    </w:lvl>
    <w:lvl w:ilvl="4" w:tplc="480E9F28" w:tentative="1">
      <w:start w:val="1"/>
      <w:numFmt w:val="lowerLetter"/>
      <w:lvlText w:val="%5."/>
      <w:lvlJc w:val="left"/>
      <w:pPr>
        <w:ind w:left="3600" w:hanging="360"/>
      </w:pPr>
    </w:lvl>
    <w:lvl w:ilvl="5" w:tplc="4E12765C" w:tentative="1">
      <w:start w:val="1"/>
      <w:numFmt w:val="lowerRoman"/>
      <w:lvlText w:val="%6."/>
      <w:lvlJc w:val="right"/>
      <w:pPr>
        <w:ind w:left="4320" w:hanging="180"/>
      </w:pPr>
    </w:lvl>
    <w:lvl w:ilvl="6" w:tplc="1C9A945E" w:tentative="1">
      <w:start w:val="1"/>
      <w:numFmt w:val="decimal"/>
      <w:lvlText w:val="%7."/>
      <w:lvlJc w:val="left"/>
      <w:pPr>
        <w:ind w:left="5040" w:hanging="360"/>
      </w:pPr>
    </w:lvl>
    <w:lvl w:ilvl="7" w:tplc="52F4F282" w:tentative="1">
      <w:start w:val="1"/>
      <w:numFmt w:val="lowerLetter"/>
      <w:lvlText w:val="%8."/>
      <w:lvlJc w:val="left"/>
      <w:pPr>
        <w:ind w:left="5760" w:hanging="360"/>
      </w:pPr>
    </w:lvl>
    <w:lvl w:ilvl="8" w:tplc="FA7C2C5C" w:tentative="1">
      <w:start w:val="1"/>
      <w:numFmt w:val="lowerRoman"/>
      <w:lvlText w:val="%9."/>
      <w:lvlJc w:val="right"/>
      <w:pPr>
        <w:ind w:left="6480" w:hanging="180"/>
      </w:pPr>
    </w:lvl>
  </w:abstractNum>
  <w:abstractNum w:abstractNumId="12" w15:restartNumberingAfterBreak="0">
    <w:nsid w:val="1EB66375"/>
    <w:multiLevelType w:val="hybridMultilevel"/>
    <w:tmpl w:val="9704DAAC"/>
    <w:lvl w:ilvl="0" w:tplc="325A0B06">
      <w:start w:val="1"/>
      <w:numFmt w:val="decimal"/>
      <w:lvlText w:val="%1."/>
      <w:lvlJc w:val="left"/>
      <w:pPr>
        <w:tabs>
          <w:tab w:val="num" w:pos="360"/>
        </w:tabs>
        <w:ind w:left="360" w:hanging="360"/>
      </w:pPr>
    </w:lvl>
    <w:lvl w:ilvl="1" w:tplc="611AA1A4" w:tentative="1">
      <w:start w:val="1"/>
      <w:numFmt w:val="lowerLetter"/>
      <w:lvlText w:val="%2."/>
      <w:lvlJc w:val="left"/>
      <w:pPr>
        <w:tabs>
          <w:tab w:val="num" w:pos="1440"/>
        </w:tabs>
        <w:ind w:left="1440" w:hanging="360"/>
      </w:pPr>
    </w:lvl>
    <w:lvl w:ilvl="2" w:tplc="B9A0B12A" w:tentative="1">
      <w:start w:val="1"/>
      <w:numFmt w:val="lowerRoman"/>
      <w:lvlText w:val="%3."/>
      <w:lvlJc w:val="right"/>
      <w:pPr>
        <w:tabs>
          <w:tab w:val="num" w:pos="2160"/>
        </w:tabs>
        <w:ind w:left="2160" w:hanging="180"/>
      </w:pPr>
    </w:lvl>
    <w:lvl w:ilvl="3" w:tplc="0E74DDEA" w:tentative="1">
      <w:start w:val="1"/>
      <w:numFmt w:val="decimal"/>
      <w:lvlText w:val="%4."/>
      <w:lvlJc w:val="left"/>
      <w:pPr>
        <w:tabs>
          <w:tab w:val="num" w:pos="2880"/>
        </w:tabs>
        <w:ind w:left="2880" w:hanging="360"/>
      </w:pPr>
    </w:lvl>
    <w:lvl w:ilvl="4" w:tplc="146E1B7C" w:tentative="1">
      <w:start w:val="1"/>
      <w:numFmt w:val="lowerLetter"/>
      <w:lvlText w:val="%5."/>
      <w:lvlJc w:val="left"/>
      <w:pPr>
        <w:tabs>
          <w:tab w:val="num" w:pos="3600"/>
        </w:tabs>
        <w:ind w:left="3600" w:hanging="360"/>
      </w:pPr>
    </w:lvl>
    <w:lvl w:ilvl="5" w:tplc="C74C5DE4" w:tentative="1">
      <w:start w:val="1"/>
      <w:numFmt w:val="lowerRoman"/>
      <w:lvlText w:val="%6."/>
      <w:lvlJc w:val="right"/>
      <w:pPr>
        <w:tabs>
          <w:tab w:val="num" w:pos="4320"/>
        </w:tabs>
        <w:ind w:left="4320" w:hanging="180"/>
      </w:pPr>
    </w:lvl>
    <w:lvl w:ilvl="6" w:tplc="4F200A18" w:tentative="1">
      <w:start w:val="1"/>
      <w:numFmt w:val="decimal"/>
      <w:lvlText w:val="%7."/>
      <w:lvlJc w:val="left"/>
      <w:pPr>
        <w:tabs>
          <w:tab w:val="num" w:pos="5040"/>
        </w:tabs>
        <w:ind w:left="5040" w:hanging="360"/>
      </w:pPr>
    </w:lvl>
    <w:lvl w:ilvl="7" w:tplc="78C8EBCC" w:tentative="1">
      <w:start w:val="1"/>
      <w:numFmt w:val="lowerLetter"/>
      <w:lvlText w:val="%8."/>
      <w:lvlJc w:val="left"/>
      <w:pPr>
        <w:tabs>
          <w:tab w:val="num" w:pos="5760"/>
        </w:tabs>
        <w:ind w:left="5760" w:hanging="360"/>
      </w:pPr>
    </w:lvl>
    <w:lvl w:ilvl="8" w:tplc="A320B5E2" w:tentative="1">
      <w:start w:val="1"/>
      <w:numFmt w:val="lowerRoman"/>
      <w:lvlText w:val="%9."/>
      <w:lvlJc w:val="right"/>
      <w:pPr>
        <w:tabs>
          <w:tab w:val="num" w:pos="6480"/>
        </w:tabs>
        <w:ind w:left="6480" w:hanging="180"/>
      </w:pPr>
    </w:lvl>
  </w:abstractNum>
  <w:abstractNum w:abstractNumId="13" w15:restartNumberingAfterBreak="0">
    <w:nsid w:val="207A1389"/>
    <w:multiLevelType w:val="hybridMultilevel"/>
    <w:tmpl w:val="44107E52"/>
    <w:lvl w:ilvl="0" w:tplc="9B0818F2">
      <w:start w:val="1"/>
      <w:numFmt w:val="decimal"/>
      <w:lvlText w:val="%1."/>
      <w:lvlJc w:val="left"/>
      <w:pPr>
        <w:ind w:left="1440" w:hanging="360"/>
      </w:pPr>
    </w:lvl>
    <w:lvl w:ilvl="1" w:tplc="49720522">
      <w:start w:val="1"/>
      <w:numFmt w:val="lowerLetter"/>
      <w:lvlText w:val="%2."/>
      <w:lvlJc w:val="left"/>
      <w:pPr>
        <w:ind w:left="2160" w:hanging="360"/>
      </w:pPr>
    </w:lvl>
    <w:lvl w:ilvl="2" w:tplc="4934B3A6" w:tentative="1">
      <w:start w:val="1"/>
      <w:numFmt w:val="lowerRoman"/>
      <w:lvlText w:val="%3."/>
      <w:lvlJc w:val="right"/>
      <w:pPr>
        <w:ind w:left="2880" w:hanging="180"/>
      </w:pPr>
    </w:lvl>
    <w:lvl w:ilvl="3" w:tplc="697E651C" w:tentative="1">
      <w:start w:val="1"/>
      <w:numFmt w:val="decimal"/>
      <w:lvlText w:val="%4."/>
      <w:lvlJc w:val="left"/>
      <w:pPr>
        <w:ind w:left="3600" w:hanging="360"/>
      </w:pPr>
    </w:lvl>
    <w:lvl w:ilvl="4" w:tplc="51FEE054" w:tentative="1">
      <w:start w:val="1"/>
      <w:numFmt w:val="lowerLetter"/>
      <w:lvlText w:val="%5."/>
      <w:lvlJc w:val="left"/>
      <w:pPr>
        <w:ind w:left="4320" w:hanging="360"/>
      </w:pPr>
    </w:lvl>
    <w:lvl w:ilvl="5" w:tplc="82F6A71A" w:tentative="1">
      <w:start w:val="1"/>
      <w:numFmt w:val="lowerRoman"/>
      <w:lvlText w:val="%6."/>
      <w:lvlJc w:val="right"/>
      <w:pPr>
        <w:ind w:left="5040" w:hanging="180"/>
      </w:pPr>
    </w:lvl>
    <w:lvl w:ilvl="6" w:tplc="0B54DC96" w:tentative="1">
      <w:start w:val="1"/>
      <w:numFmt w:val="decimal"/>
      <w:lvlText w:val="%7."/>
      <w:lvlJc w:val="left"/>
      <w:pPr>
        <w:ind w:left="5760" w:hanging="360"/>
      </w:pPr>
    </w:lvl>
    <w:lvl w:ilvl="7" w:tplc="1E7E50A4" w:tentative="1">
      <w:start w:val="1"/>
      <w:numFmt w:val="lowerLetter"/>
      <w:lvlText w:val="%8."/>
      <w:lvlJc w:val="left"/>
      <w:pPr>
        <w:ind w:left="6480" w:hanging="360"/>
      </w:pPr>
    </w:lvl>
    <w:lvl w:ilvl="8" w:tplc="002E4530" w:tentative="1">
      <w:start w:val="1"/>
      <w:numFmt w:val="lowerRoman"/>
      <w:lvlText w:val="%9."/>
      <w:lvlJc w:val="right"/>
      <w:pPr>
        <w:ind w:left="7200" w:hanging="180"/>
      </w:pPr>
    </w:lvl>
  </w:abstractNum>
  <w:abstractNum w:abstractNumId="14" w15:restartNumberingAfterBreak="0">
    <w:nsid w:val="22FC471A"/>
    <w:multiLevelType w:val="hybridMultilevel"/>
    <w:tmpl w:val="0BB69756"/>
    <w:lvl w:ilvl="0" w:tplc="EFF8959A">
      <w:start w:val="1"/>
      <w:numFmt w:val="decimal"/>
      <w:lvlText w:val="%1."/>
      <w:lvlJc w:val="left"/>
      <w:pPr>
        <w:ind w:left="720" w:hanging="360"/>
      </w:pPr>
    </w:lvl>
    <w:lvl w:ilvl="1" w:tplc="C25E13DE">
      <w:start w:val="1"/>
      <w:numFmt w:val="lowerLetter"/>
      <w:lvlText w:val="%2."/>
      <w:lvlJc w:val="left"/>
      <w:pPr>
        <w:ind w:left="1440" w:hanging="360"/>
      </w:pPr>
    </w:lvl>
    <w:lvl w:ilvl="2" w:tplc="A81A8E50" w:tentative="1">
      <w:start w:val="1"/>
      <w:numFmt w:val="lowerRoman"/>
      <w:lvlText w:val="%3."/>
      <w:lvlJc w:val="right"/>
      <w:pPr>
        <w:ind w:left="2160" w:hanging="180"/>
      </w:pPr>
    </w:lvl>
    <w:lvl w:ilvl="3" w:tplc="0C28B932" w:tentative="1">
      <w:start w:val="1"/>
      <w:numFmt w:val="decimal"/>
      <w:lvlText w:val="%4."/>
      <w:lvlJc w:val="left"/>
      <w:pPr>
        <w:ind w:left="2880" w:hanging="360"/>
      </w:pPr>
    </w:lvl>
    <w:lvl w:ilvl="4" w:tplc="4C443424" w:tentative="1">
      <w:start w:val="1"/>
      <w:numFmt w:val="lowerLetter"/>
      <w:lvlText w:val="%5."/>
      <w:lvlJc w:val="left"/>
      <w:pPr>
        <w:ind w:left="3600" w:hanging="360"/>
      </w:pPr>
    </w:lvl>
    <w:lvl w:ilvl="5" w:tplc="A0F45F00" w:tentative="1">
      <w:start w:val="1"/>
      <w:numFmt w:val="lowerRoman"/>
      <w:lvlText w:val="%6."/>
      <w:lvlJc w:val="right"/>
      <w:pPr>
        <w:ind w:left="4320" w:hanging="180"/>
      </w:pPr>
    </w:lvl>
    <w:lvl w:ilvl="6" w:tplc="006EF622" w:tentative="1">
      <w:start w:val="1"/>
      <w:numFmt w:val="decimal"/>
      <w:lvlText w:val="%7."/>
      <w:lvlJc w:val="left"/>
      <w:pPr>
        <w:ind w:left="5040" w:hanging="360"/>
      </w:pPr>
    </w:lvl>
    <w:lvl w:ilvl="7" w:tplc="F8BA87CC" w:tentative="1">
      <w:start w:val="1"/>
      <w:numFmt w:val="lowerLetter"/>
      <w:lvlText w:val="%8."/>
      <w:lvlJc w:val="left"/>
      <w:pPr>
        <w:ind w:left="5760" w:hanging="360"/>
      </w:pPr>
    </w:lvl>
    <w:lvl w:ilvl="8" w:tplc="0CB85D84" w:tentative="1">
      <w:start w:val="1"/>
      <w:numFmt w:val="lowerRoman"/>
      <w:lvlText w:val="%9."/>
      <w:lvlJc w:val="right"/>
      <w:pPr>
        <w:ind w:left="6480" w:hanging="180"/>
      </w:pPr>
    </w:lvl>
  </w:abstractNum>
  <w:abstractNum w:abstractNumId="15" w15:restartNumberingAfterBreak="0">
    <w:nsid w:val="23B9225F"/>
    <w:multiLevelType w:val="multilevel"/>
    <w:tmpl w:val="8520926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4473FA9"/>
    <w:multiLevelType w:val="multilevel"/>
    <w:tmpl w:val="C5DAB85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7FD335E"/>
    <w:multiLevelType w:val="hybridMultilevel"/>
    <w:tmpl w:val="D8FE3DD8"/>
    <w:lvl w:ilvl="0" w:tplc="F67CBDF4">
      <w:start w:val="1"/>
      <w:numFmt w:val="upperLetter"/>
      <w:lvlText w:val="%1."/>
      <w:lvlJc w:val="left"/>
      <w:pPr>
        <w:tabs>
          <w:tab w:val="num" w:pos="1170"/>
        </w:tabs>
        <w:ind w:left="1170" w:hanging="360"/>
      </w:pPr>
      <w:rPr>
        <w:rFonts w:hint="default"/>
      </w:rPr>
    </w:lvl>
    <w:lvl w:ilvl="1" w:tplc="DE6C5562">
      <w:start w:val="1"/>
      <w:numFmt w:val="upperLetter"/>
      <w:lvlText w:val="%2."/>
      <w:lvlJc w:val="left"/>
      <w:pPr>
        <w:tabs>
          <w:tab w:val="num" w:pos="1440"/>
        </w:tabs>
        <w:ind w:left="1440" w:hanging="360"/>
      </w:pPr>
      <w:rPr>
        <w:rFonts w:hint="default"/>
      </w:rPr>
    </w:lvl>
    <w:lvl w:ilvl="2" w:tplc="01E2B80C">
      <w:start w:val="1"/>
      <w:numFmt w:val="lowerRoman"/>
      <w:lvlText w:val="%3."/>
      <w:lvlJc w:val="right"/>
      <w:pPr>
        <w:tabs>
          <w:tab w:val="num" w:pos="2160"/>
        </w:tabs>
        <w:ind w:left="2160" w:hanging="180"/>
      </w:pPr>
    </w:lvl>
    <w:lvl w:ilvl="3" w:tplc="2F343ACE">
      <w:start w:val="1"/>
      <w:numFmt w:val="decimal"/>
      <w:lvlText w:val="%4."/>
      <w:lvlJc w:val="left"/>
      <w:pPr>
        <w:tabs>
          <w:tab w:val="num" w:pos="2880"/>
        </w:tabs>
        <w:ind w:left="2880" w:hanging="360"/>
      </w:pPr>
      <w:rPr>
        <w:rFonts w:hint="default"/>
      </w:rPr>
    </w:lvl>
    <w:lvl w:ilvl="4" w:tplc="802EC9A6" w:tentative="1">
      <w:start w:val="1"/>
      <w:numFmt w:val="lowerLetter"/>
      <w:lvlText w:val="%5."/>
      <w:lvlJc w:val="left"/>
      <w:pPr>
        <w:tabs>
          <w:tab w:val="num" w:pos="3600"/>
        </w:tabs>
        <w:ind w:left="3600" w:hanging="360"/>
      </w:pPr>
    </w:lvl>
    <w:lvl w:ilvl="5" w:tplc="5FA844EC" w:tentative="1">
      <w:start w:val="1"/>
      <w:numFmt w:val="lowerRoman"/>
      <w:lvlText w:val="%6."/>
      <w:lvlJc w:val="right"/>
      <w:pPr>
        <w:tabs>
          <w:tab w:val="num" w:pos="4320"/>
        </w:tabs>
        <w:ind w:left="4320" w:hanging="180"/>
      </w:pPr>
    </w:lvl>
    <w:lvl w:ilvl="6" w:tplc="5FA6D8C4" w:tentative="1">
      <w:start w:val="1"/>
      <w:numFmt w:val="decimal"/>
      <w:lvlText w:val="%7."/>
      <w:lvlJc w:val="left"/>
      <w:pPr>
        <w:tabs>
          <w:tab w:val="num" w:pos="5040"/>
        </w:tabs>
        <w:ind w:left="5040" w:hanging="360"/>
      </w:pPr>
    </w:lvl>
    <w:lvl w:ilvl="7" w:tplc="6B922990" w:tentative="1">
      <w:start w:val="1"/>
      <w:numFmt w:val="lowerLetter"/>
      <w:lvlText w:val="%8."/>
      <w:lvlJc w:val="left"/>
      <w:pPr>
        <w:tabs>
          <w:tab w:val="num" w:pos="5760"/>
        </w:tabs>
        <w:ind w:left="5760" w:hanging="360"/>
      </w:pPr>
    </w:lvl>
    <w:lvl w:ilvl="8" w:tplc="C074B678" w:tentative="1">
      <w:start w:val="1"/>
      <w:numFmt w:val="lowerRoman"/>
      <w:lvlText w:val="%9."/>
      <w:lvlJc w:val="right"/>
      <w:pPr>
        <w:tabs>
          <w:tab w:val="num" w:pos="6480"/>
        </w:tabs>
        <w:ind w:left="6480" w:hanging="180"/>
      </w:pPr>
    </w:lvl>
  </w:abstractNum>
  <w:abstractNum w:abstractNumId="18" w15:restartNumberingAfterBreak="0">
    <w:nsid w:val="4382237F"/>
    <w:multiLevelType w:val="hybridMultilevel"/>
    <w:tmpl w:val="DFD0F244"/>
    <w:lvl w:ilvl="0" w:tplc="FB6A93D6">
      <w:start w:val="1"/>
      <w:numFmt w:val="decimal"/>
      <w:lvlText w:val="%1."/>
      <w:lvlJc w:val="left"/>
      <w:pPr>
        <w:tabs>
          <w:tab w:val="num" w:pos="360"/>
        </w:tabs>
        <w:ind w:left="360" w:hanging="360"/>
      </w:pPr>
    </w:lvl>
    <w:lvl w:ilvl="1" w:tplc="F058EAB6">
      <w:start w:val="1"/>
      <w:numFmt w:val="lowerLetter"/>
      <w:lvlText w:val="%2."/>
      <w:lvlJc w:val="left"/>
      <w:pPr>
        <w:tabs>
          <w:tab w:val="num" w:pos="1080"/>
        </w:tabs>
        <w:ind w:left="1080" w:hanging="360"/>
      </w:pPr>
    </w:lvl>
    <w:lvl w:ilvl="2" w:tplc="C82CCDA8" w:tentative="1">
      <w:start w:val="1"/>
      <w:numFmt w:val="lowerRoman"/>
      <w:lvlText w:val="%3."/>
      <w:lvlJc w:val="right"/>
      <w:pPr>
        <w:tabs>
          <w:tab w:val="num" w:pos="1800"/>
        </w:tabs>
        <w:ind w:left="1800" w:hanging="180"/>
      </w:pPr>
    </w:lvl>
    <w:lvl w:ilvl="3" w:tplc="1EFE4D28" w:tentative="1">
      <w:start w:val="1"/>
      <w:numFmt w:val="decimal"/>
      <w:lvlText w:val="%4."/>
      <w:lvlJc w:val="left"/>
      <w:pPr>
        <w:tabs>
          <w:tab w:val="num" w:pos="2520"/>
        </w:tabs>
        <w:ind w:left="2520" w:hanging="360"/>
      </w:pPr>
    </w:lvl>
    <w:lvl w:ilvl="4" w:tplc="4ED0D1C0" w:tentative="1">
      <w:start w:val="1"/>
      <w:numFmt w:val="lowerLetter"/>
      <w:lvlText w:val="%5."/>
      <w:lvlJc w:val="left"/>
      <w:pPr>
        <w:tabs>
          <w:tab w:val="num" w:pos="3240"/>
        </w:tabs>
        <w:ind w:left="3240" w:hanging="360"/>
      </w:pPr>
    </w:lvl>
    <w:lvl w:ilvl="5" w:tplc="3D2666AE" w:tentative="1">
      <w:start w:val="1"/>
      <w:numFmt w:val="lowerRoman"/>
      <w:lvlText w:val="%6."/>
      <w:lvlJc w:val="right"/>
      <w:pPr>
        <w:tabs>
          <w:tab w:val="num" w:pos="3960"/>
        </w:tabs>
        <w:ind w:left="3960" w:hanging="180"/>
      </w:pPr>
    </w:lvl>
    <w:lvl w:ilvl="6" w:tplc="BC7C5AFC" w:tentative="1">
      <w:start w:val="1"/>
      <w:numFmt w:val="decimal"/>
      <w:lvlText w:val="%7."/>
      <w:lvlJc w:val="left"/>
      <w:pPr>
        <w:tabs>
          <w:tab w:val="num" w:pos="4680"/>
        </w:tabs>
        <w:ind w:left="4680" w:hanging="360"/>
      </w:pPr>
    </w:lvl>
    <w:lvl w:ilvl="7" w:tplc="111A6FEC" w:tentative="1">
      <w:start w:val="1"/>
      <w:numFmt w:val="lowerLetter"/>
      <w:lvlText w:val="%8."/>
      <w:lvlJc w:val="left"/>
      <w:pPr>
        <w:tabs>
          <w:tab w:val="num" w:pos="5400"/>
        </w:tabs>
        <w:ind w:left="5400" w:hanging="360"/>
      </w:pPr>
    </w:lvl>
    <w:lvl w:ilvl="8" w:tplc="1318D0BA" w:tentative="1">
      <w:start w:val="1"/>
      <w:numFmt w:val="lowerRoman"/>
      <w:lvlText w:val="%9."/>
      <w:lvlJc w:val="right"/>
      <w:pPr>
        <w:tabs>
          <w:tab w:val="num" w:pos="6120"/>
        </w:tabs>
        <w:ind w:left="6120" w:hanging="180"/>
      </w:pPr>
    </w:lvl>
  </w:abstractNum>
  <w:abstractNum w:abstractNumId="19" w15:restartNumberingAfterBreak="0">
    <w:nsid w:val="44F81192"/>
    <w:multiLevelType w:val="hybridMultilevel"/>
    <w:tmpl w:val="86BC72BC"/>
    <w:lvl w:ilvl="0" w:tplc="55A03F32">
      <w:start w:val="1"/>
      <w:numFmt w:val="decimal"/>
      <w:lvlText w:val="%1."/>
      <w:lvlJc w:val="left"/>
      <w:pPr>
        <w:tabs>
          <w:tab w:val="num" w:pos="360"/>
        </w:tabs>
        <w:ind w:left="360" w:hanging="360"/>
      </w:pPr>
    </w:lvl>
    <w:lvl w:ilvl="1" w:tplc="EB62B504" w:tentative="1">
      <w:start w:val="1"/>
      <w:numFmt w:val="lowerLetter"/>
      <w:lvlText w:val="%2."/>
      <w:lvlJc w:val="left"/>
      <w:pPr>
        <w:tabs>
          <w:tab w:val="num" w:pos="1080"/>
        </w:tabs>
        <w:ind w:left="1080" w:hanging="360"/>
      </w:pPr>
    </w:lvl>
    <w:lvl w:ilvl="2" w:tplc="FD764164" w:tentative="1">
      <w:start w:val="1"/>
      <w:numFmt w:val="lowerRoman"/>
      <w:lvlText w:val="%3."/>
      <w:lvlJc w:val="right"/>
      <w:pPr>
        <w:tabs>
          <w:tab w:val="num" w:pos="1800"/>
        </w:tabs>
        <w:ind w:left="1800" w:hanging="180"/>
      </w:pPr>
    </w:lvl>
    <w:lvl w:ilvl="3" w:tplc="ED78BA7C" w:tentative="1">
      <w:start w:val="1"/>
      <w:numFmt w:val="decimal"/>
      <w:lvlText w:val="%4."/>
      <w:lvlJc w:val="left"/>
      <w:pPr>
        <w:tabs>
          <w:tab w:val="num" w:pos="2520"/>
        </w:tabs>
        <w:ind w:left="2520" w:hanging="360"/>
      </w:pPr>
    </w:lvl>
    <w:lvl w:ilvl="4" w:tplc="B510CF80" w:tentative="1">
      <w:start w:val="1"/>
      <w:numFmt w:val="lowerLetter"/>
      <w:lvlText w:val="%5."/>
      <w:lvlJc w:val="left"/>
      <w:pPr>
        <w:tabs>
          <w:tab w:val="num" w:pos="3240"/>
        </w:tabs>
        <w:ind w:left="3240" w:hanging="360"/>
      </w:pPr>
    </w:lvl>
    <w:lvl w:ilvl="5" w:tplc="03C29006" w:tentative="1">
      <w:start w:val="1"/>
      <w:numFmt w:val="lowerRoman"/>
      <w:lvlText w:val="%6."/>
      <w:lvlJc w:val="right"/>
      <w:pPr>
        <w:tabs>
          <w:tab w:val="num" w:pos="3960"/>
        </w:tabs>
        <w:ind w:left="3960" w:hanging="180"/>
      </w:pPr>
    </w:lvl>
    <w:lvl w:ilvl="6" w:tplc="99D62EA0" w:tentative="1">
      <w:start w:val="1"/>
      <w:numFmt w:val="decimal"/>
      <w:lvlText w:val="%7."/>
      <w:lvlJc w:val="left"/>
      <w:pPr>
        <w:tabs>
          <w:tab w:val="num" w:pos="4680"/>
        </w:tabs>
        <w:ind w:left="4680" w:hanging="360"/>
      </w:pPr>
    </w:lvl>
    <w:lvl w:ilvl="7" w:tplc="3968BC28" w:tentative="1">
      <w:start w:val="1"/>
      <w:numFmt w:val="lowerLetter"/>
      <w:lvlText w:val="%8."/>
      <w:lvlJc w:val="left"/>
      <w:pPr>
        <w:tabs>
          <w:tab w:val="num" w:pos="5400"/>
        </w:tabs>
        <w:ind w:left="5400" w:hanging="360"/>
      </w:pPr>
    </w:lvl>
    <w:lvl w:ilvl="8" w:tplc="CBFC1BB6" w:tentative="1">
      <w:start w:val="1"/>
      <w:numFmt w:val="lowerRoman"/>
      <w:lvlText w:val="%9."/>
      <w:lvlJc w:val="right"/>
      <w:pPr>
        <w:tabs>
          <w:tab w:val="num" w:pos="6120"/>
        </w:tabs>
        <w:ind w:left="6120" w:hanging="180"/>
      </w:pPr>
    </w:lvl>
  </w:abstractNum>
  <w:abstractNum w:abstractNumId="20" w15:restartNumberingAfterBreak="0">
    <w:nsid w:val="46D762DF"/>
    <w:multiLevelType w:val="multilevel"/>
    <w:tmpl w:val="DFD0F2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89B21AE"/>
    <w:multiLevelType w:val="hybridMultilevel"/>
    <w:tmpl w:val="785A74AE"/>
    <w:lvl w:ilvl="0" w:tplc="92401AD8">
      <w:start w:val="1"/>
      <w:numFmt w:val="upperLetter"/>
      <w:lvlText w:val="%1."/>
      <w:lvlJc w:val="left"/>
      <w:pPr>
        <w:tabs>
          <w:tab w:val="num" w:pos="1170"/>
        </w:tabs>
        <w:ind w:left="1170" w:hanging="360"/>
      </w:pPr>
      <w:rPr>
        <w:rFonts w:hint="default"/>
      </w:rPr>
    </w:lvl>
    <w:lvl w:ilvl="1" w:tplc="1E9475EA">
      <w:start w:val="1"/>
      <w:numFmt w:val="decimal"/>
      <w:lvlText w:val="%2."/>
      <w:lvlJc w:val="left"/>
      <w:pPr>
        <w:tabs>
          <w:tab w:val="num" w:pos="1440"/>
        </w:tabs>
        <w:ind w:left="1440" w:hanging="360"/>
      </w:pPr>
      <w:rPr>
        <w:rFonts w:hint="default"/>
      </w:rPr>
    </w:lvl>
    <w:lvl w:ilvl="2" w:tplc="1F7070B8">
      <w:start w:val="1"/>
      <w:numFmt w:val="lowerRoman"/>
      <w:lvlText w:val="%3."/>
      <w:lvlJc w:val="right"/>
      <w:pPr>
        <w:tabs>
          <w:tab w:val="num" w:pos="2160"/>
        </w:tabs>
        <w:ind w:left="2160" w:hanging="180"/>
      </w:pPr>
    </w:lvl>
    <w:lvl w:ilvl="3" w:tplc="A962B1D4">
      <w:start w:val="1"/>
      <w:numFmt w:val="decimal"/>
      <w:lvlText w:val="%4."/>
      <w:lvlJc w:val="left"/>
      <w:pPr>
        <w:tabs>
          <w:tab w:val="num" w:pos="2880"/>
        </w:tabs>
        <w:ind w:left="2880" w:hanging="360"/>
      </w:pPr>
      <w:rPr>
        <w:rFonts w:hint="default"/>
      </w:rPr>
    </w:lvl>
    <w:lvl w:ilvl="4" w:tplc="9E3026CA" w:tentative="1">
      <w:start w:val="1"/>
      <w:numFmt w:val="lowerLetter"/>
      <w:lvlText w:val="%5."/>
      <w:lvlJc w:val="left"/>
      <w:pPr>
        <w:tabs>
          <w:tab w:val="num" w:pos="3600"/>
        </w:tabs>
        <w:ind w:left="3600" w:hanging="360"/>
      </w:pPr>
    </w:lvl>
    <w:lvl w:ilvl="5" w:tplc="9B28ED80" w:tentative="1">
      <w:start w:val="1"/>
      <w:numFmt w:val="lowerRoman"/>
      <w:lvlText w:val="%6."/>
      <w:lvlJc w:val="right"/>
      <w:pPr>
        <w:tabs>
          <w:tab w:val="num" w:pos="4320"/>
        </w:tabs>
        <w:ind w:left="4320" w:hanging="180"/>
      </w:pPr>
    </w:lvl>
    <w:lvl w:ilvl="6" w:tplc="D7D49C06" w:tentative="1">
      <w:start w:val="1"/>
      <w:numFmt w:val="decimal"/>
      <w:lvlText w:val="%7."/>
      <w:lvlJc w:val="left"/>
      <w:pPr>
        <w:tabs>
          <w:tab w:val="num" w:pos="5040"/>
        </w:tabs>
        <w:ind w:left="5040" w:hanging="360"/>
      </w:pPr>
    </w:lvl>
    <w:lvl w:ilvl="7" w:tplc="2E62C290" w:tentative="1">
      <w:start w:val="1"/>
      <w:numFmt w:val="lowerLetter"/>
      <w:lvlText w:val="%8."/>
      <w:lvlJc w:val="left"/>
      <w:pPr>
        <w:tabs>
          <w:tab w:val="num" w:pos="5760"/>
        </w:tabs>
        <w:ind w:left="5760" w:hanging="360"/>
      </w:pPr>
    </w:lvl>
    <w:lvl w:ilvl="8" w:tplc="8DBE20B6" w:tentative="1">
      <w:start w:val="1"/>
      <w:numFmt w:val="lowerRoman"/>
      <w:lvlText w:val="%9."/>
      <w:lvlJc w:val="right"/>
      <w:pPr>
        <w:tabs>
          <w:tab w:val="num" w:pos="6480"/>
        </w:tabs>
        <w:ind w:left="6480" w:hanging="180"/>
      </w:pPr>
    </w:lvl>
  </w:abstractNum>
  <w:abstractNum w:abstractNumId="22" w15:restartNumberingAfterBreak="0">
    <w:nsid w:val="49D369D8"/>
    <w:multiLevelType w:val="multilevel"/>
    <w:tmpl w:val="25220710"/>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9D81D96"/>
    <w:multiLevelType w:val="hybridMultilevel"/>
    <w:tmpl w:val="66E00BB6"/>
    <w:lvl w:ilvl="0" w:tplc="14487C1A">
      <w:start w:val="1"/>
      <w:numFmt w:val="decimal"/>
      <w:lvlText w:val="%1."/>
      <w:lvlJc w:val="left"/>
      <w:pPr>
        <w:tabs>
          <w:tab w:val="num" w:pos="360"/>
        </w:tabs>
        <w:ind w:left="360" w:hanging="360"/>
      </w:pPr>
    </w:lvl>
    <w:lvl w:ilvl="1" w:tplc="91B41AA6" w:tentative="1">
      <w:start w:val="1"/>
      <w:numFmt w:val="lowerLetter"/>
      <w:lvlText w:val="%2."/>
      <w:lvlJc w:val="left"/>
      <w:pPr>
        <w:tabs>
          <w:tab w:val="num" w:pos="1080"/>
        </w:tabs>
        <w:ind w:left="1080" w:hanging="360"/>
      </w:pPr>
    </w:lvl>
    <w:lvl w:ilvl="2" w:tplc="D6483868" w:tentative="1">
      <w:start w:val="1"/>
      <w:numFmt w:val="lowerRoman"/>
      <w:lvlText w:val="%3."/>
      <w:lvlJc w:val="right"/>
      <w:pPr>
        <w:tabs>
          <w:tab w:val="num" w:pos="1800"/>
        </w:tabs>
        <w:ind w:left="1800" w:hanging="180"/>
      </w:pPr>
    </w:lvl>
    <w:lvl w:ilvl="3" w:tplc="4BAC9DE0" w:tentative="1">
      <w:start w:val="1"/>
      <w:numFmt w:val="decimal"/>
      <w:lvlText w:val="%4."/>
      <w:lvlJc w:val="left"/>
      <w:pPr>
        <w:tabs>
          <w:tab w:val="num" w:pos="2520"/>
        </w:tabs>
        <w:ind w:left="2520" w:hanging="360"/>
      </w:pPr>
    </w:lvl>
    <w:lvl w:ilvl="4" w:tplc="161A6078" w:tentative="1">
      <w:start w:val="1"/>
      <w:numFmt w:val="lowerLetter"/>
      <w:lvlText w:val="%5."/>
      <w:lvlJc w:val="left"/>
      <w:pPr>
        <w:tabs>
          <w:tab w:val="num" w:pos="3240"/>
        </w:tabs>
        <w:ind w:left="3240" w:hanging="360"/>
      </w:pPr>
    </w:lvl>
    <w:lvl w:ilvl="5" w:tplc="472CF516" w:tentative="1">
      <w:start w:val="1"/>
      <w:numFmt w:val="lowerRoman"/>
      <w:lvlText w:val="%6."/>
      <w:lvlJc w:val="right"/>
      <w:pPr>
        <w:tabs>
          <w:tab w:val="num" w:pos="3960"/>
        </w:tabs>
        <w:ind w:left="3960" w:hanging="180"/>
      </w:pPr>
    </w:lvl>
    <w:lvl w:ilvl="6" w:tplc="FE3CF83A" w:tentative="1">
      <w:start w:val="1"/>
      <w:numFmt w:val="decimal"/>
      <w:lvlText w:val="%7."/>
      <w:lvlJc w:val="left"/>
      <w:pPr>
        <w:tabs>
          <w:tab w:val="num" w:pos="4680"/>
        </w:tabs>
        <w:ind w:left="4680" w:hanging="360"/>
      </w:pPr>
    </w:lvl>
    <w:lvl w:ilvl="7" w:tplc="8FA2AAF4" w:tentative="1">
      <w:start w:val="1"/>
      <w:numFmt w:val="lowerLetter"/>
      <w:lvlText w:val="%8."/>
      <w:lvlJc w:val="left"/>
      <w:pPr>
        <w:tabs>
          <w:tab w:val="num" w:pos="5400"/>
        </w:tabs>
        <w:ind w:left="5400" w:hanging="360"/>
      </w:pPr>
    </w:lvl>
    <w:lvl w:ilvl="8" w:tplc="E174D3DC" w:tentative="1">
      <w:start w:val="1"/>
      <w:numFmt w:val="lowerRoman"/>
      <w:lvlText w:val="%9."/>
      <w:lvlJc w:val="right"/>
      <w:pPr>
        <w:tabs>
          <w:tab w:val="num" w:pos="6120"/>
        </w:tabs>
        <w:ind w:left="6120" w:hanging="180"/>
      </w:pPr>
    </w:lvl>
  </w:abstractNum>
  <w:abstractNum w:abstractNumId="24" w15:restartNumberingAfterBreak="0">
    <w:nsid w:val="50767DB5"/>
    <w:multiLevelType w:val="hybridMultilevel"/>
    <w:tmpl w:val="7C8C9B56"/>
    <w:lvl w:ilvl="0" w:tplc="16227146">
      <w:start w:val="12"/>
      <w:numFmt w:val="decimal"/>
      <w:lvlText w:val="%1."/>
      <w:lvlJc w:val="left"/>
      <w:pPr>
        <w:tabs>
          <w:tab w:val="num" w:pos="720"/>
        </w:tabs>
        <w:ind w:left="720" w:hanging="360"/>
      </w:pPr>
      <w:rPr>
        <w:rFonts w:hint="default"/>
      </w:rPr>
    </w:lvl>
    <w:lvl w:ilvl="1" w:tplc="F4002410" w:tentative="1">
      <w:start w:val="1"/>
      <w:numFmt w:val="lowerLetter"/>
      <w:lvlText w:val="%2."/>
      <w:lvlJc w:val="left"/>
      <w:pPr>
        <w:tabs>
          <w:tab w:val="num" w:pos="1440"/>
        </w:tabs>
        <w:ind w:left="1440" w:hanging="360"/>
      </w:pPr>
    </w:lvl>
    <w:lvl w:ilvl="2" w:tplc="CA24423C" w:tentative="1">
      <w:start w:val="1"/>
      <w:numFmt w:val="lowerRoman"/>
      <w:lvlText w:val="%3."/>
      <w:lvlJc w:val="right"/>
      <w:pPr>
        <w:tabs>
          <w:tab w:val="num" w:pos="2160"/>
        </w:tabs>
        <w:ind w:left="2160" w:hanging="180"/>
      </w:pPr>
    </w:lvl>
    <w:lvl w:ilvl="3" w:tplc="726AB278" w:tentative="1">
      <w:start w:val="1"/>
      <w:numFmt w:val="decimal"/>
      <w:lvlText w:val="%4."/>
      <w:lvlJc w:val="left"/>
      <w:pPr>
        <w:tabs>
          <w:tab w:val="num" w:pos="2880"/>
        </w:tabs>
        <w:ind w:left="2880" w:hanging="360"/>
      </w:pPr>
    </w:lvl>
    <w:lvl w:ilvl="4" w:tplc="3FFCF278" w:tentative="1">
      <w:start w:val="1"/>
      <w:numFmt w:val="lowerLetter"/>
      <w:lvlText w:val="%5."/>
      <w:lvlJc w:val="left"/>
      <w:pPr>
        <w:tabs>
          <w:tab w:val="num" w:pos="3600"/>
        </w:tabs>
        <w:ind w:left="3600" w:hanging="360"/>
      </w:pPr>
    </w:lvl>
    <w:lvl w:ilvl="5" w:tplc="69F200A6" w:tentative="1">
      <w:start w:val="1"/>
      <w:numFmt w:val="lowerRoman"/>
      <w:lvlText w:val="%6."/>
      <w:lvlJc w:val="right"/>
      <w:pPr>
        <w:tabs>
          <w:tab w:val="num" w:pos="4320"/>
        </w:tabs>
        <w:ind w:left="4320" w:hanging="180"/>
      </w:pPr>
    </w:lvl>
    <w:lvl w:ilvl="6" w:tplc="1DE8A46A" w:tentative="1">
      <w:start w:val="1"/>
      <w:numFmt w:val="decimal"/>
      <w:lvlText w:val="%7."/>
      <w:lvlJc w:val="left"/>
      <w:pPr>
        <w:tabs>
          <w:tab w:val="num" w:pos="5040"/>
        </w:tabs>
        <w:ind w:left="5040" w:hanging="360"/>
      </w:pPr>
    </w:lvl>
    <w:lvl w:ilvl="7" w:tplc="0F84927C" w:tentative="1">
      <w:start w:val="1"/>
      <w:numFmt w:val="lowerLetter"/>
      <w:lvlText w:val="%8."/>
      <w:lvlJc w:val="left"/>
      <w:pPr>
        <w:tabs>
          <w:tab w:val="num" w:pos="5760"/>
        </w:tabs>
        <w:ind w:left="5760" w:hanging="360"/>
      </w:pPr>
    </w:lvl>
    <w:lvl w:ilvl="8" w:tplc="2EA24198" w:tentative="1">
      <w:start w:val="1"/>
      <w:numFmt w:val="lowerRoman"/>
      <w:lvlText w:val="%9."/>
      <w:lvlJc w:val="right"/>
      <w:pPr>
        <w:tabs>
          <w:tab w:val="num" w:pos="6480"/>
        </w:tabs>
        <w:ind w:left="6480" w:hanging="180"/>
      </w:pPr>
    </w:lvl>
  </w:abstractNum>
  <w:abstractNum w:abstractNumId="25" w15:restartNumberingAfterBreak="0">
    <w:nsid w:val="532D1BE0"/>
    <w:multiLevelType w:val="hybridMultilevel"/>
    <w:tmpl w:val="2722C148"/>
    <w:lvl w:ilvl="0" w:tplc="E7CE58F6">
      <w:start w:val="1"/>
      <w:numFmt w:val="lowerLetter"/>
      <w:lvlText w:val="%1."/>
      <w:lvlJc w:val="left"/>
      <w:pPr>
        <w:ind w:left="2280" w:hanging="360"/>
      </w:pPr>
      <w:rPr>
        <w:rFonts w:hint="default"/>
      </w:rPr>
    </w:lvl>
    <w:lvl w:ilvl="1" w:tplc="65EA270C" w:tentative="1">
      <w:start w:val="1"/>
      <w:numFmt w:val="lowerLetter"/>
      <w:lvlText w:val="%2."/>
      <w:lvlJc w:val="left"/>
      <w:pPr>
        <w:ind w:left="1440" w:hanging="360"/>
      </w:pPr>
    </w:lvl>
    <w:lvl w:ilvl="2" w:tplc="770A4180" w:tentative="1">
      <w:start w:val="1"/>
      <w:numFmt w:val="lowerRoman"/>
      <w:lvlText w:val="%3."/>
      <w:lvlJc w:val="right"/>
      <w:pPr>
        <w:ind w:left="2160" w:hanging="180"/>
      </w:pPr>
    </w:lvl>
    <w:lvl w:ilvl="3" w:tplc="1E26E18C" w:tentative="1">
      <w:start w:val="1"/>
      <w:numFmt w:val="decimal"/>
      <w:lvlText w:val="%4."/>
      <w:lvlJc w:val="left"/>
      <w:pPr>
        <w:ind w:left="2880" w:hanging="360"/>
      </w:pPr>
    </w:lvl>
    <w:lvl w:ilvl="4" w:tplc="44F60ADC" w:tentative="1">
      <w:start w:val="1"/>
      <w:numFmt w:val="lowerLetter"/>
      <w:lvlText w:val="%5."/>
      <w:lvlJc w:val="left"/>
      <w:pPr>
        <w:ind w:left="3600" w:hanging="360"/>
      </w:pPr>
    </w:lvl>
    <w:lvl w:ilvl="5" w:tplc="1616AE34" w:tentative="1">
      <w:start w:val="1"/>
      <w:numFmt w:val="lowerRoman"/>
      <w:lvlText w:val="%6."/>
      <w:lvlJc w:val="right"/>
      <w:pPr>
        <w:ind w:left="4320" w:hanging="180"/>
      </w:pPr>
    </w:lvl>
    <w:lvl w:ilvl="6" w:tplc="A81CBC82" w:tentative="1">
      <w:start w:val="1"/>
      <w:numFmt w:val="decimal"/>
      <w:lvlText w:val="%7."/>
      <w:lvlJc w:val="left"/>
      <w:pPr>
        <w:ind w:left="5040" w:hanging="360"/>
      </w:pPr>
    </w:lvl>
    <w:lvl w:ilvl="7" w:tplc="770C92CC" w:tentative="1">
      <w:start w:val="1"/>
      <w:numFmt w:val="lowerLetter"/>
      <w:lvlText w:val="%8."/>
      <w:lvlJc w:val="left"/>
      <w:pPr>
        <w:ind w:left="5760" w:hanging="360"/>
      </w:pPr>
    </w:lvl>
    <w:lvl w:ilvl="8" w:tplc="1070EEB6" w:tentative="1">
      <w:start w:val="1"/>
      <w:numFmt w:val="lowerRoman"/>
      <w:lvlText w:val="%9."/>
      <w:lvlJc w:val="right"/>
      <w:pPr>
        <w:ind w:left="6480" w:hanging="180"/>
      </w:pPr>
    </w:lvl>
  </w:abstractNum>
  <w:abstractNum w:abstractNumId="26" w15:restartNumberingAfterBreak="0">
    <w:nsid w:val="5B40650E"/>
    <w:multiLevelType w:val="hybridMultilevel"/>
    <w:tmpl w:val="C05869CC"/>
    <w:lvl w:ilvl="0" w:tplc="DD3029A2">
      <w:start w:val="3"/>
      <w:numFmt w:val="decimal"/>
      <w:lvlText w:val="%1."/>
      <w:lvlJc w:val="left"/>
      <w:pPr>
        <w:tabs>
          <w:tab w:val="num" w:pos="360"/>
        </w:tabs>
        <w:ind w:left="360" w:hanging="360"/>
      </w:pPr>
      <w:rPr>
        <w:rFonts w:hint="default"/>
        <w:b w:val="0"/>
        <w:sz w:val="24"/>
        <w:szCs w:val="24"/>
      </w:rPr>
    </w:lvl>
    <w:lvl w:ilvl="1" w:tplc="7E2E316C">
      <w:start w:val="1"/>
      <w:numFmt w:val="lowerLetter"/>
      <w:lvlText w:val="%2."/>
      <w:lvlJc w:val="left"/>
      <w:pPr>
        <w:tabs>
          <w:tab w:val="num" w:pos="1440"/>
        </w:tabs>
        <w:ind w:left="1440" w:hanging="360"/>
      </w:pPr>
    </w:lvl>
    <w:lvl w:ilvl="2" w:tplc="47B2CF56" w:tentative="1">
      <w:start w:val="1"/>
      <w:numFmt w:val="lowerRoman"/>
      <w:lvlText w:val="%3."/>
      <w:lvlJc w:val="right"/>
      <w:pPr>
        <w:tabs>
          <w:tab w:val="num" w:pos="2160"/>
        </w:tabs>
        <w:ind w:left="2160" w:hanging="180"/>
      </w:pPr>
    </w:lvl>
    <w:lvl w:ilvl="3" w:tplc="AB320CF8" w:tentative="1">
      <w:start w:val="1"/>
      <w:numFmt w:val="decimal"/>
      <w:lvlText w:val="%4."/>
      <w:lvlJc w:val="left"/>
      <w:pPr>
        <w:tabs>
          <w:tab w:val="num" w:pos="2880"/>
        </w:tabs>
        <w:ind w:left="2880" w:hanging="360"/>
      </w:pPr>
    </w:lvl>
    <w:lvl w:ilvl="4" w:tplc="0958C226" w:tentative="1">
      <w:start w:val="1"/>
      <w:numFmt w:val="lowerLetter"/>
      <w:lvlText w:val="%5."/>
      <w:lvlJc w:val="left"/>
      <w:pPr>
        <w:tabs>
          <w:tab w:val="num" w:pos="3600"/>
        </w:tabs>
        <w:ind w:left="3600" w:hanging="360"/>
      </w:pPr>
    </w:lvl>
    <w:lvl w:ilvl="5" w:tplc="DFB4AAC2" w:tentative="1">
      <w:start w:val="1"/>
      <w:numFmt w:val="lowerRoman"/>
      <w:lvlText w:val="%6."/>
      <w:lvlJc w:val="right"/>
      <w:pPr>
        <w:tabs>
          <w:tab w:val="num" w:pos="4320"/>
        </w:tabs>
        <w:ind w:left="4320" w:hanging="180"/>
      </w:pPr>
    </w:lvl>
    <w:lvl w:ilvl="6" w:tplc="785614E0" w:tentative="1">
      <w:start w:val="1"/>
      <w:numFmt w:val="decimal"/>
      <w:lvlText w:val="%7."/>
      <w:lvlJc w:val="left"/>
      <w:pPr>
        <w:tabs>
          <w:tab w:val="num" w:pos="5040"/>
        </w:tabs>
        <w:ind w:left="5040" w:hanging="360"/>
      </w:pPr>
    </w:lvl>
    <w:lvl w:ilvl="7" w:tplc="4DE23872" w:tentative="1">
      <w:start w:val="1"/>
      <w:numFmt w:val="lowerLetter"/>
      <w:lvlText w:val="%8."/>
      <w:lvlJc w:val="left"/>
      <w:pPr>
        <w:tabs>
          <w:tab w:val="num" w:pos="5760"/>
        </w:tabs>
        <w:ind w:left="5760" w:hanging="360"/>
      </w:pPr>
    </w:lvl>
    <w:lvl w:ilvl="8" w:tplc="C47E8DFE" w:tentative="1">
      <w:start w:val="1"/>
      <w:numFmt w:val="lowerRoman"/>
      <w:lvlText w:val="%9."/>
      <w:lvlJc w:val="right"/>
      <w:pPr>
        <w:tabs>
          <w:tab w:val="num" w:pos="6480"/>
        </w:tabs>
        <w:ind w:left="6480" w:hanging="180"/>
      </w:pPr>
    </w:lvl>
  </w:abstractNum>
  <w:abstractNum w:abstractNumId="27" w15:restartNumberingAfterBreak="0">
    <w:nsid w:val="5D7A634D"/>
    <w:multiLevelType w:val="hybridMultilevel"/>
    <w:tmpl w:val="4830F088"/>
    <w:lvl w:ilvl="0" w:tplc="6E4CEF06">
      <w:start w:val="1"/>
      <w:numFmt w:val="bullet"/>
      <w:lvlText w:val=""/>
      <w:lvlJc w:val="left"/>
      <w:pPr>
        <w:tabs>
          <w:tab w:val="num" w:pos="360"/>
        </w:tabs>
        <w:ind w:left="0" w:firstLine="0"/>
      </w:pPr>
      <w:rPr>
        <w:rFonts w:ascii="Symbol" w:hAnsi="Symbol" w:hint="default"/>
      </w:rPr>
    </w:lvl>
    <w:lvl w:ilvl="1" w:tplc="6D4A337E">
      <w:start w:val="1"/>
      <w:numFmt w:val="bullet"/>
      <w:lvlText w:val="o"/>
      <w:lvlJc w:val="left"/>
      <w:pPr>
        <w:tabs>
          <w:tab w:val="num" w:pos="1440"/>
        </w:tabs>
        <w:ind w:left="1440" w:hanging="360"/>
      </w:pPr>
      <w:rPr>
        <w:rFonts w:ascii="Courier New" w:hAnsi="Courier New" w:cs="Courier New" w:hint="default"/>
      </w:rPr>
    </w:lvl>
    <w:lvl w:ilvl="2" w:tplc="DB8E8B22" w:tentative="1">
      <w:start w:val="1"/>
      <w:numFmt w:val="bullet"/>
      <w:lvlText w:val=""/>
      <w:lvlJc w:val="left"/>
      <w:pPr>
        <w:tabs>
          <w:tab w:val="num" w:pos="2160"/>
        </w:tabs>
        <w:ind w:left="2160" w:hanging="360"/>
      </w:pPr>
      <w:rPr>
        <w:rFonts w:ascii="Wingdings" w:hAnsi="Wingdings" w:hint="default"/>
      </w:rPr>
    </w:lvl>
    <w:lvl w:ilvl="3" w:tplc="FA8A0BC0" w:tentative="1">
      <w:start w:val="1"/>
      <w:numFmt w:val="bullet"/>
      <w:lvlText w:val=""/>
      <w:lvlJc w:val="left"/>
      <w:pPr>
        <w:tabs>
          <w:tab w:val="num" w:pos="2880"/>
        </w:tabs>
        <w:ind w:left="2880" w:hanging="360"/>
      </w:pPr>
      <w:rPr>
        <w:rFonts w:ascii="Symbol" w:hAnsi="Symbol" w:hint="default"/>
      </w:rPr>
    </w:lvl>
    <w:lvl w:ilvl="4" w:tplc="0BBEC9FA" w:tentative="1">
      <w:start w:val="1"/>
      <w:numFmt w:val="bullet"/>
      <w:lvlText w:val="o"/>
      <w:lvlJc w:val="left"/>
      <w:pPr>
        <w:tabs>
          <w:tab w:val="num" w:pos="3600"/>
        </w:tabs>
        <w:ind w:left="3600" w:hanging="360"/>
      </w:pPr>
      <w:rPr>
        <w:rFonts w:ascii="Courier New" w:hAnsi="Courier New" w:cs="Courier New" w:hint="default"/>
      </w:rPr>
    </w:lvl>
    <w:lvl w:ilvl="5" w:tplc="1C20618A" w:tentative="1">
      <w:start w:val="1"/>
      <w:numFmt w:val="bullet"/>
      <w:lvlText w:val=""/>
      <w:lvlJc w:val="left"/>
      <w:pPr>
        <w:tabs>
          <w:tab w:val="num" w:pos="4320"/>
        </w:tabs>
        <w:ind w:left="4320" w:hanging="360"/>
      </w:pPr>
      <w:rPr>
        <w:rFonts w:ascii="Wingdings" w:hAnsi="Wingdings" w:hint="default"/>
      </w:rPr>
    </w:lvl>
    <w:lvl w:ilvl="6" w:tplc="6F3E417C" w:tentative="1">
      <w:start w:val="1"/>
      <w:numFmt w:val="bullet"/>
      <w:lvlText w:val=""/>
      <w:lvlJc w:val="left"/>
      <w:pPr>
        <w:tabs>
          <w:tab w:val="num" w:pos="5040"/>
        </w:tabs>
        <w:ind w:left="5040" w:hanging="360"/>
      </w:pPr>
      <w:rPr>
        <w:rFonts w:ascii="Symbol" w:hAnsi="Symbol" w:hint="default"/>
      </w:rPr>
    </w:lvl>
    <w:lvl w:ilvl="7" w:tplc="9482B238" w:tentative="1">
      <w:start w:val="1"/>
      <w:numFmt w:val="bullet"/>
      <w:lvlText w:val="o"/>
      <w:lvlJc w:val="left"/>
      <w:pPr>
        <w:tabs>
          <w:tab w:val="num" w:pos="5760"/>
        </w:tabs>
        <w:ind w:left="5760" w:hanging="360"/>
      </w:pPr>
      <w:rPr>
        <w:rFonts w:ascii="Courier New" w:hAnsi="Courier New" w:cs="Courier New" w:hint="default"/>
      </w:rPr>
    </w:lvl>
    <w:lvl w:ilvl="8" w:tplc="A78883D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873B73"/>
    <w:multiLevelType w:val="hybridMultilevel"/>
    <w:tmpl w:val="DE6A24E0"/>
    <w:lvl w:ilvl="0" w:tplc="A4386A46">
      <w:start w:val="1"/>
      <w:numFmt w:val="lowerLetter"/>
      <w:lvlText w:val="%1."/>
      <w:lvlJc w:val="left"/>
      <w:pPr>
        <w:ind w:left="2280" w:hanging="360"/>
      </w:pPr>
      <w:rPr>
        <w:rFonts w:hint="default"/>
      </w:rPr>
    </w:lvl>
    <w:lvl w:ilvl="1" w:tplc="99C6DB92" w:tentative="1">
      <w:start w:val="1"/>
      <w:numFmt w:val="lowerLetter"/>
      <w:lvlText w:val="%2."/>
      <w:lvlJc w:val="left"/>
      <w:pPr>
        <w:ind w:left="1440" w:hanging="360"/>
      </w:pPr>
    </w:lvl>
    <w:lvl w:ilvl="2" w:tplc="3476120A" w:tentative="1">
      <w:start w:val="1"/>
      <w:numFmt w:val="lowerRoman"/>
      <w:lvlText w:val="%3."/>
      <w:lvlJc w:val="right"/>
      <w:pPr>
        <w:ind w:left="2160" w:hanging="180"/>
      </w:pPr>
    </w:lvl>
    <w:lvl w:ilvl="3" w:tplc="8D6CCEBE" w:tentative="1">
      <w:start w:val="1"/>
      <w:numFmt w:val="decimal"/>
      <w:lvlText w:val="%4."/>
      <w:lvlJc w:val="left"/>
      <w:pPr>
        <w:ind w:left="2880" w:hanging="360"/>
      </w:pPr>
    </w:lvl>
    <w:lvl w:ilvl="4" w:tplc="C6706992" w:tentative="1">
      <w:start w:val="1"/>
      <w:numFmt w:val="lowerLetter"/>
      <w:lvlText w:val="%5."/>
      <w:lvlJc w:val="left"/>
      <w:pPr>
        <w:ind w:left="3600" w:hanging="360"/>
      </w:pPr>
    </w:lvl>
    <w:lvl w:ilvl="5" w:tplc="7E1C7D6A" w:tentative="1">
      <w:start w:val="1"/>
      <w:numFmt w:val="lowerRoman"/>
      <w:lvlText w:val="%6."/>
      <w:lvlJc w:val="right"/>
      <w:pPr>
        <w:ind w:left="4320" w:hanging="180"/>
      </w:pPr>
    </w:lvl>
    <w:lvl w:ilvl="6" w:tplc="B3B4A226" w:tentative="1">
      <w:start w:val="1"/>
      <w:numFmt w:val="decimal"/>
      <w:lvlText w:val="%7."/>
      <w:lvlJc w:val="left"/>
      <w:pPr>
        <w:ind w:left="5040" w:hanging="360"/>
      </w:pPr>
    </w:lvl>
    <w:lvl w:ilvl="7" w:tplc="0D666DCA" w:tentative="1">
      <w:start w:val="1"/>
      <w:numFmt w:val="lowerLetter"/>
      <w:lvlText w:val="%8."/>
      <w:lvlJc w:val="left"/>
      <w:pPr>
        <w:ind w:left="5760" w:hanging="360"/>
      </w:pPr>
    </w:lvl>
    <w:lvl w:ilvl="8" w:tplc="4D24EAE6" w:tentative="1">
      <w:start w:val="1"/>
      <w:numFmt w:val="lowerRoman"/>
      <w:lvlText w:val="%9."/>
      <w:lvlJc w:val="right"/>
      <w:pPr>
        <w:ind w:left="6480" w:hanging="180"/>
      </w:pPr>
    </w:lvl>
  </w:abstractNum>
  <w:abstractNum w:abstractNumId="29" w15:restartNumberingAfterBreak="0">
    <w:nsid w:val="62A9458C"/>
    <w:multiLevelType w:val="hybridMultilevel"/>
    <w:tmpl w:val="BA5A9A3C"/>
    <w:lvl w:ilvl="0" w:tplc="A9D4B7B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DF7638"/>
    <w:multiLevelType w:val="hybridMultilevel"/>
    <w:tmpl w:val="2722C148"/>
    <w:lvl w:ilvl="0" w:tplc="7CBA5AAA">
      <w:start w:val="1"/>
      <w:numFmt w:val="lowerLetter"/>
      <w:lvlText w:val="%1."/>
      <w:lvlJc w:val="left"/>
      <w:pPr>
        <w:ind w:left="1890" w:hanging="360"/>
      </w:pPr>
      <w:rPr>
        <w:rFonts w:hint="default"/>
      </w:rPr>
    </w:lvl>
    <w:lvl w:ilvl="1" w:tplc="9FA2935E" w:tentative="1">
      <w:start w:val="1"/>
      <w:numFmt w:val="lowerLetter"/>
      <w:lvlText w:val="%2."/>
      <w:lvlJc w:val="left"/>
      <w:pPr>
        <w:ind w:left="1440" w:hanging="360"/>
      </w:pPr>
    </w:lvl>
    <w:lvl w:ilvl="2" w:tplc="F98C0BF4" w:tentative="1">
      <w:start w:val="1"/>
      <w:numFmt w:val="lowerRoman"/>
      <w:lvlText w:val="%3."/>
      <w:lvlJc w:val="right"/>
      <w:pPr>
        <w:ind w:left="2160" w:hanging="180"/>
      </w:pPr>
    </w:lvl>
    <w:lvl w:ilvl="3" w:tplc="D4229912" w:tentative="1">
      <w:start w:val="1"/>
      <w:numFmt w:val="decimal"/>
      <w:lvlText w:val="%4."/>
      <w:lvlJc w:val="left"/>
      <w:pPr>
        <w:ind w:left="2880" w:hanging="360"/>
      </w:pPr>
    </w:lvl>
    <w:lvl w:ilvl="4" w:tplc="B678D12A" w:tentative="1">
      <w:start w:val="1"/>
      <w:numFmt w:val="lowerLetter"/>
      <w:lvlText w:val="%5."/>
      <w:lvlJc w:val="left"/>
      <w:pPr>
        <w:ind w:left="3600" w:hanging="360"/>
      </w:pPr>
    </w:lvl>
    <w:lvl w:ilvl="5" w:tplc="E6107E5A" w:tentative="1">
      <w:start w:val="1"/>
      <w:numFmt w:val="lowerRoman"/>
      <w:lvlText w:val="%6."/>
      <w:lvlJc w:val="right"/>
      <w:pPr>
        <w:ind w:left="4320" w:hanging="180"/>
      </w:pPr>
    </w:lvl>
    <w:lvl w:ilvl="6" w:tplc="A028B806" w:tentative="1">
      <w:start w:val="1"/>
      <w:numFmt w:val="decimal"/>
      <w:lvlText w:val="%7."/>
      <w:lvlJc w:val="left"/>
      <w:pPr>
        <w:ind w:left="5040" w:hanging="360"/>
      </w:pPr>
    </w:lvl>
    <w:lvl w:ilvl="7" w:tplc="329E44FA" w:tentative="1">
      <w:start w:val="1"/>
      <w:numFmt w:val="lowerLetter"/>
      <w:lvlText w:val="%8."/>
      <w:lvlJc w:val="left"/>
      <w:pPr>
        <w:ind w:left="5760" w:hanging="360"/>
      </w:pPr>
    </w:lvl>
    <w:lvl w:ilvl="8" w:tplc="7F78A204" w:tentative="1">
      <w:start w:val="1"/>
      <w:numFmt w:val="lowerRoman"/>
      <w:lvlText w:val="%9."/>
      <w:lvlJc w:val="right"/>
      <w:pPr>
        <w:ind w:left="6480" w:hanging="180"/>
      </w:pPr>
    </w:lvl>
  </w:abstractNum>
  <w:abstractNum w:abstractNumId="31" w15:restartNumberingAfterBreak="0">
    <w:nsid w:val="76190192"/>
    <w:multiLevelType w:val="hybridMultilevel"/>
    <w:tmpl w:val="B77E11F2"/>
    <w:lvl w:ilvl="0" w:tplc="BDEA5F38">
      <w:start w:val="1"/>
      <w:numFmt w:val="decimal"/>
      <w:lvlText w:val="%1."/>
      <w:lvlJc w:val="left"/>
      <w:pPr>
        <w:tabs>
          <w:tab w:val="num" w:pos="720"/>
        </w:tabs>
        <w:ind w:left="720" w:hanging="360"/>
      </w:pPr>
    </w:lvl>
    <w:lvl w:ilvl="1" w:tplc="55144B14" w:tentative="1">
      <w:start w:val="1"/>
      <w:numFmt w:val="lowerLetter"/>
      <w:lvlText w:val="%2."/>
      <w:lvlJc w:val="left"/>
      <w:pPr>
        <w:tabs>
          <w:tab w:val="num" w:pos="1440"/>
        </w:tabs>
        <w:ind w:left="1440" w:hanging="360"/>
      </w:pPr>
    </w:lvl>
    <w:lvl w:ilvl="2" w:tplc="C9DA5B3E" w:tentative="1">
      <w:start w:val="1"/>
      <w:numFmt w:val="lowerRoman"/>
      <w:lvlText w:val="%3."/>
      <w:lvlJc w:val="right"/>
      <w:pPr>
        <w:tabs>
          <w:tab w:val="num" w:pos="2160"/>
        </w:tabs>
        <w:ind w:left="2160" w:hanging="180"/>
      </w:pPr>
    </w:lvl>
    <w:lvl w:ilvl="3" w:tplc="ADA40D36" w:tentative="1">
      <w:start w:val="1"/>
      <w:numFmt w:val="decimal"/>
      <w:lvlText w:val="%4."/>
      <w:lvlJc w:val="left"/>
      <w:pPr>
        <w:tabs>
          <w:tab w:val="num" w:pos="2880"/>
        </w:tabs>
        <w:ind w:left="2880" w:hanging="360"/>
      </w:pPr>
    </w:lvl>
    <w:lvl w:ilvl="4" w:tplc="4F027DE6" w:tentative="1">
      <w:start w:val="1"/>
      <w:numFmt w:val="lowerLetter"/>
      <w:lvlText w:val="%5."/>
      <w:lvlJc w:val="left"/>
      <w:pPr>
        <w:tabs>
          <w:tab w:val="num" w:pos="3600"/>
        </w:tabs>
        <w:ind w:left="3600" w:hanging="360"/>
      </w:pPr>
    </w:lvl>
    <w:lvl w:ilvl="5" w:tplc="6B923146" w:tentative="1">
      <w:start w:val="1"/>
      <w:numFmt w:val="lowerRoman"/>
      <w:lvlText w:val="%6."/>
      <w:lvlJc w:val="right"/>
      <w:pPr>
        <w:tabs>
          <w:tab w:val="num" w:pos="4320"/>
        </w:tabs>
        <w:ind w:left="4320" w:hanging="180"/>
      </w:pPr>
    </w:lvl>
    <w:lvl w:ilvl="6" w:tplc="C89A4336" w:tentative="1">
      <w:start w:val="1"/>
      <w:numFmt w:val="decimal"/>
      <w:lvlText w:val="%7."/>
      <w:lvlJc w:val="left"/>
      <w:pPr>
        <w:tabs>
          <w:tab w:val="num" w:pos="5040"/>
        </w:tabs>
        <w:ind w:left="5040" w:hanging="360"/>
      </w:pPr>
    </w:lvl>
    <w:lvl w:ilvl="7" w:tplc="DCBC908E" w:tentative="1">
      <w:start w:val="1"/>
      <w:numFmt w:val="lowerLetter"/>
      <w:lvlText w:val="%8."/>
      <w:lvlJc w:val="left"/>
      <w:pPr>
        <w:tabs>
          <w:tab w:val="num" w:pos="5760"/>
        </w:tabs>
        <w:ind w:left="5760" w:hanging="360"/>
      </w:pPr>
    </w:lvl>
    <w:lvl w:ilvl="8" w:tplc="0652C000" w:tentative="1">
      <w:start w:val="1"/>
      <w:numFmt w:val="lowerRoman"/>
      <w:lvlText w:val="%9."/>
      <w:lvlJc w:val="right"/>
      <w:pPr>
        <w:tabs>
          <w:tab w:val="num" w:pos="6480"/>
        </w:tabs>
        <w:ind w:left="6480" w:hanging="180"/>
      </w:pPr>
    </w:lvl>
  </w:abstractNum>
  <w:abstractNum w:abstractNumId="32" w15:restartNumberingAfterBreak="0">
    <w:nsid w:val="77B80F1D"/>
    <w:multiLevelType w:val="hybridMultilevel"/>
    <w:tmpl w:val="B316F498"/>
    <w:lvl w:ilvl="0" w:tplc="F4D2A2EE">
      <w:start w:val="1"/>
      <w:numFmt w:val="bullet"/>
      <w:lvlText w:val=""/>
      <w:lvlJc w:val="left"/>
      <w:pPr>
        <w:tabs>
          <w:tab w:val="num" w:pos="720"/>
        </w:tabs>
        <w:ind w:left="720" w:hanging="360"/>
      </w:pPr>
      <w:rPr>
        <w:rFonts w:ascii="Symbol" w:hAnsi="Symbol" w:hint="default"/>
      </w:rPr>
    </w:lvl>
    <w:lvl w:ilvl="1" w:tplc="083A1870" w:tentative="1">
      <w:start w:val="1"/>
      <w:numFmt w:val="bullet"/>
      <w:lvlText w:val="o"/>
      <w:lvlJc w:val="left"/>
      <w:pPr>
        <w:tabs>
          <w:tab w:val="num" w:pos="1080"/>
        </w:tabs>
        <w:ind w:left="1080" w:hanging="360"/>
      </w:pPr>
      <w:rPr>
        <w:rFonts w:ascii="Courier New" w:hAnsi="Courier New" w:cs="Courier New" w:hint="default"/>
      </w:rPr>
    </w:lvl>
    <w:lvl w:ilvl="2" w:tplc="D144DAAC" w:tentative="1">
      <w:start w:val="1"/>
      <w:numFmt w:val="bullet"/>
      <w:lvlText w:val=""/>
      <w:lvlJc w:val="left"/>
      <w:pPr>
        <w:tabs>
          <w:tab w:val="num" w:pos="1800"/>
        </w:tabs>
        <w:ind w:left="1800" w:hanging="360"/>
      </w:pPr>
      <w:rPr>
        <w:rFonts w:ascii="Wingdings" w:hAnsi="Wingdings" w:hint="default"/>
      </w:rPr>
    </w:lvl>
    <w:lvl w:ilvl="3" w:tplc="9C586B2E" w:tentative="1">
      <w:start w:val="1"/>
      <w:numFmt w:val="bullet"/>
      <w:lvlText w:val=""/>
      <w:lvlJc w:val="left"/>
      <w:pPr>
        <w:tabs>
          <w:tab w:val="num" w:pos="2520"/>
        </w:tabs>
        <w:ind w:left="2520" w:hanging="360"/>
      </w:pPr>
      <w:rPr>
        <w:rFonts w:ascii="Symbol" w:hAnsi="Symbol" w:hint="default"/>
      </w:rPr>
    </w:lvl>
    <w:lvl w:ilvl="4" w:tplc="4E3A6466" w:tentative="1">
      <w:start w:val="1"/>
      <w:numFmt w:val="bullet"/>
      <w:lvlText w:val="o"/>
      <w:lvlJc w:val="left"/>
      <w:pPr>
        <w:tabs>
          <w:tab w:val="num" w:pos="3240"/>
        </w:tabs>
        <w:ind w:left="3240" w:hanging="360"/>
      </w:pPr>
      <w:rPr>
        <w:rFonts w:ascii="Courier New" w:hAnsi="Courier New" w:cs="Courier New" w:hint="default"/>
      </w:rPr>
    </w:lvl>
    <w:lvl w:ilvl="5" w:tplc="F7AAF666" w:tentative="1">
      <w:start w:val="1"/>
      <w:numFmt w:val="bullet"/>
      <w:lvlText w:val=""/>
      <w:lvlJc w:val="left"/>
      <w:pPr>
        <w:tabs>
          <w:tab w:val="num" w:pos="3960"/>
        </w:tabs>
        <w:ind w:left="3960" w:hanging="360"/>
      </w:pPr>
      <w:rPr>
        <w:rFonts w:ascii="Wingdings" w:hAnsi="Wingdings" w:hint="default"/>
      </w:rPr>
    </w:lvl>
    <w:lvl w:ilvl="6" w:tplc="6526C336" w:tentative="1">
      <w:start w:val="1"/>
      <w:numFmt w:val="bullet"/>
      <w:lvlText w:val=""/>
      <w:lvlJc w:val="left"/>
      <w:pPr>
        <w:tabs>
          <w:tab w:val="num" w:pos="4680"/>
        </w:tabs>
        <w:ind w:left="4680" w:hanging="360"/>
      </w:pPr>
      <w:rPr>
        <w:rFonts w:ascii="Symbol" w:hAnsi="Symbol" w:hint="default"/>
      </w:rPr>
    </w:lvl>
    <w:lvl w:ilvl="7" w:tplc="ABCE9862" w:tentative="1">
      <w:start w:val="1"/>
      <w:numFmt w:val="bullet"/>
      <w:lvlText w:val="o"/>
      <w:lvlJc w:val="left"/>
      <w:pPr>
        <w:tabs>
          <w:tab w:val="num" w:pos="5400"/>
        </w:tabs>
        <w:ind w:left="5400" w:hanging="360"/>
      </w:pPr>
      <w:rPr>
        <w:rFonts w:ascii="Courier New" w:hAnsi="Courier New" w:cs="Courier New" w:hint="default"/>
      </w:rPr>
    </w:lvl>
    <w:lvl w:ilvl="8" w:tplc="5A8E7298"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682D2E"/>
    <w:multiLevelType w:val="hybridMultilevel"/>
    <w:tmpl w:val="C5DAB858"/>
    <w:lvl w:ilvl="0" w:tplc="091E008A">
      <w:start w:val="1"/>
      <w:numFmt w:val="decimal"/>
      <w:lvlText w:val="%1."/>
      <w:lvlJc w:val="left"/>
      <w:pPr>
        <w:tabs>
          <w:tab w:val="num" w:pos="360"/>
        </w:tabs>
        <w:ind w:left="360" w:hanging="360"/>
      </w:pPr>
    </w:lvl>
    <w:lvl w:ilvl="1" w:tplc="1062EC4A">
      <w:start w:val="1"/>
      <w:numFmt w:val="lowerLetter"/>
      <w:lvlText w:val="%2."/>
      <w:lvlJc w:val="left"/>
      <w:pPr>
        <w:tabs>
          <w:tab w:val="num" w:pos="1080"/>
        </w:tabs>
        <w:ind w:left="1080" w:hanging="360"/>
      </w:pPr>
    </w:lvl>
    <w:lvl w:ilvl="2" w:tplc="620000FE">
      <w:start w:val="1"/>
      <w:numFmt w:val="lowerRoman"/>
      <w:lvlText w:val="%3."/>
      <w:lvlJc w:val="right"/>
      <w:pPr>
        <w:tabs>
          <w:tab w:val="num" w:pos="1800"/>
        </w:tabs>
        <w:ind w:left="1800" w:hanging="180"/>
      </w:pPr>
    </w:lvl>
    <w:lvl w:ilvl="3" w:tplc="5C803720">
      <w:start w:val="1"/>
      <w:numFmt w:val="decimal"/>
      <w:lvlText w:val="%4."/>
      <w:lvlJc w:val="left"/>
      <w:pPr>
        <w:tabs>
          <w:tab w:val="num" w:pos="2520"/>
        </w:tabs>
        <w:ind w:left="2520" w:hanging="360"/>
      </w:pPr>
    </w:lvl>
    <w:lvl w:ilvl="4" w:tplc="1C64A7FE">
      <w:start w:val="1"/>
      <w:numFmt w:val="lowerLetter"/>
      <w:lvlText w:val="%5."/>
      <w:lvlJc w:val="left"/>
      <w:pPr>
        <w:tabs>
          <w:tab w:val="num" w:pos="3240"/>
        </w:tabs>
        <w:ind w:left="3240" w:hanging="360"/>
      </w:pPr>
    </w:lvl>
    <w:lvl w:ilvl="5" w:tplc="260AAB86" w:tentative="1">
      <w:start w:val="1"/>
      <w:numFmt w:val="lowerRoman"/>
      <w:lvlText w:val="%6."/>
      <w:lvlJc w:val="right"/>
      <w:pPr>
        <w:tabs>
          <w:tab w:val="num" w:pos="3960"/>
        </w:tabs>
        <w:ind w:left="3960" w:hanging="180"/>
      </w:pPr>
    </w:lvl>
    <w:lvl w:ilvl="6" w:tplc="C76CF464" w:tentative="1">
      <w:start w:val="1"/>
      <w:numFmt w:val="decimal"/>
      <w:lvlText w:val="%7."/>
      <w:lvlJc w:val="left"/>
      <w:pPr>
        <w:tabs>
          <w:tab w:val="num" w:pos="4680"/>
        </w:tabs>
        <w:ind w:left="4680" w:hanging="360"/>
      </w:pPr>
    </w:lvl>
    <w:lvl w:ilvl="7" w:tplc="3A50860A" w:tentative="1">
      <w:start w:val="1"/>
      <w:numFmt w:val="lowerLetter"/>
      <w:lvlText w:val="%8."/>
      <w:lvlJc w:val="left"/>
      <w:pPr>
        <w:tabs>
          <w:tab w:val="num" w:pos="5400"/>
        </w:tabs>
        <w:ind w:left="5400" w:hanging="360"/>
      </w:pPr>
    </w:lvl>
    <w:lvl w:ilvl="8" w:tplc="B48E4B86" w:tentative="1">
      <w:start w:val="1"/>
      <w:numFmt w:val="lowerRoman"/>
      <w:lvlText w:val="%9."/>
      <w:lvlJc w:val="right"/>
      <w:pPr>
        <w:tabs>
          <w:tab w:val="num" w:pos="6120"/>
        </w:tabs>
        <w:ind w:left="6120" w:hanging="180"/>
      </w:pPr>
    </w:lvl>
  </w:abstractNum>
  <w:abstractNum w:abstractNumId="34" w15:restartNumberingAfterBreak="0">
    <w:nsid w:val="7CC3136D"/>
    <w:multiLevelType w:val="hybridMultilevel"/>
    <w:tmpl w:val="D0422CB8"/>
    <w:lvl w:ilvl="0" w:tplc="B3C63AE8">
      <w:start w:val="1"/>
      <w:numFmt w:val="bullet"/>
      <w:lvlText w:val=""/>
      <w:lvlJc w:val="left"/>
      <w:pPr>
        <w:tabs>
          <w:tab w:val="num" w:pos="720"/>
        </w:tabs>
        <w:ind w:left="720" w:hanging="360"/>
      </w:pPr>
      <w:rPr>
        <w:rFonts w:ascii="Symbol" w:hAnsi="Symbol" w:hint="default"/>
      </w:rPr>
    </w:lvl>
    <w:lvl w:ilvl="1" w:tplc="31AE43CC">
      <w:start w:val="1"/>
      <w:numFmt w:val="decimal"/>
      <w:lvlText w:val="%2."/>
      <w:lvlJc w:val="left"/>
      <w:pPr>
        <w:tabs>
          <w:tab w:val="num" w:pos="1440"/>
        </w:tabs>
        <w:ind w:left="1440" w:hanging="360"/>
      </w:pPr>
      <w:rPr>
        <w:rFonts w:hint="default"/>
      </w:rPr>
    </w:lvl>
    <w:lvl w:ilvl="2" w:tplc="4A66A5EE">
      <w:start w:val="1"/>
      <w:numFmt w:val="lowerRoman"/>
      <w:lvlText w:val="%3."/>
      <w:lvlJc w:val="right"/>
      <w:pPr>
        <w:tabs>
          <w:tab w:val="num" w:pos="2160"/>
        </w:tabs>
        <w:ind w:left="2160" w:hanging="180"/>
      </w:pPr>
    </w:lvl>
    <w:lvl w:ilvl="3" w:tplc="3C169D16">
      <w:start w:val="1"/>
      <w:numFmt w:val="decimal"/>
      <w:lvlText w:val="%4."/>
      <w:lvlJc w:val="left"/>
      <w:pPr>
        <w:tabs>
          <w:tab w:val="num" w:pos="2880"/>
        </w:tabs>
        <w:ind w:left="2880" w:hanging="360"/>
      </w:pPr>
      <w:rPr>
        <w:rFonts w:hint="default"/>
      </w:rPr>
    </w:lvl>
    <w:lvl w:ilvl="4" w:tplc="EC1C8F0A" w:tentative="1">
      <w:start w:val="1"/>
      <w:numFmt w:val="lowerLetter"/>
      <w:lvlText w:val="%5."/>
      <w:lvlJc w:val="left"/>
      <w:pPr>
        <w:tabs>
          <w:tab w:val="num" w:pos="3600"/>
        </w:tabs>
        <w:ind w:left="3600" w:hanging="360"/>
      </w:pPr>
    </w:lvl>
    <w:lvl w:ilvl="5" w:tplc="EFC88CD4" w:tentative="1">
      <w:start w:val="1"/>
      <w:numFmt w:val="lowerRoman"/>
      <w:lvlText w:val="%6."/>
      <w:lvlJc w:val="right"/>
      <w:pPr>
        <w:tabs>
          <w:tab w:val="num" w:pos="4320"/>
        </w:tabs>
        <w:ind w:left="4320" w:hanging="180"/>
      </w:pPr>
    </w:lvl>
    <w:lvl w:ilvl="6" w:tplc="265C0806" w:tentative="1">
      <w:start w:val="1"/>
      <w:numFmt w:val="decimal"/>
      <w:lvlText w:val="%7."/>
      <w:lvlJc w:val="left"/>
      <w:pPr>
        <w:tabs>
          <w:tab w:val="num" w:pos="5040"/>
        </w:tabs>
        <w:ind w:left="5040" w:hanging="360"/>
      </w:pPr>
    </w:lvl>
    <w:lvl w:ilvl="7" w:tplc="53042D4E" w:tentative="1">
      <w:start w:val="1"/>
      <w:numFmt w:val="lowerLetter"/>
      <w:lvlText w:val="%8."/>
      <w:lvlJc w:val="left"/>
      <w:pPr>
        <w:tabs>
          <w:tab w:val="num" w:pos="5760"/>
        </w:tabs>
        <w:ind w:left="5760" w:hanging="360"/>
      </w:pPr>
    </w:lvl>
    <w:lvl w:ilvl="8" w:tplc="90046498" w:tentative="1">
      <w:start w:val="1"/>
      <w:numFmt w:val="lowerRoman"/>
      <w:lvlText w:val="%9."/>
      <w:lvlJc w:val="right"/>
      <w:pPr>
        <w:tabs>
          <w:tab w:val="num" w:pos="6480"/>
        </w:tabs>
        <w:ind w:left="6480" w:hanging="180"/>
      </w:pPr>
    </w:lvl>
  </w:abstractNum>
  <w:abstractNum w:abstractNumId="35" w15:restartNumberingAfterBreak="0">
    <w:nsid w:val="7E304E53"/>
    <w:multiLevelType w:val="multilevel"/>
    <w:tmpl w:val="DFD0F2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4"/>
  </w:num>
  <w:num w:numId="2">
    <w:abstractNumId w:val="3"/>
  </w:num>
  <w:num w:numId="3">
    <w:abstractNumId w:val="2"/>
  </w:num>
  <w:num w:numId="4">
    <w:abstractNumId w:val="1"/>
  </w:num>
  <w:num w:numId="5">
    <w:abstractNumId w:val="0"/>
  </w:num>
  <w:num w:numId="6">
    <w:abstractNumId w:val="21"/>
  </w:num>
  <w:num w:numId="7">
    <w:abstractNumId w:val="32"/>
  </w:num>
  <w:num w:numId="8">
    <w:abstractNumId w:val="33"/>
  </w:num>
  <w:num w:numId="9">
    <w:abstractNumId w:val="18"/>
  </w:num>
  <w:num w:numId="10">
    <w:abstractNumId w:val="23"/>
  </w:num>
  <w:num w:numId="11">
    <w:abstractNumId w:val="16"/>
  </w:num>
  <w:num w:numId="12">
    <w:abstractNumId w:val="35"/>
  </w:num>
  <w:num w:numId="13">
    <w:abstractNumId w:val="20"/>
  </w:num>
  <w:num w:numId="14">
    <w:abstractNumId w:val="19"/>
  </w:num>
  <w:num w:numId="15">
    <w:abstractNumId w:val="31"/>
  </w:num>
  <w:num w:numId="16">
    <w:abstractNumId w:val="22"/>
  </w:num>
  <w:num w:numId="17">
    <w:abstractNumId w:val="9"/>
  </w:num>
  <w:num w:numId="18">
    <w:abstractNumId w:val="5"/>
  </w:num>
  <w:num w:numId="19">
    <w:abstractNumId w:val="26"/>
  </w:num>
  <w:num w:numId="20">
    <w:abstractNumId w:val="24"/>
  </w:num>
  <w:num w:numId="21">
    <w:abstractNumId w:val="7"/>
  </w:num>
  <w:num w:numId="22">
    <w:abstractNumId w:val="15"/>
  </w:num>
  <w:num w:numId="23">
    <w:abstractNumId w:val="10"/>
  </w:num>
  <w:num w:numId="24">
    <w:abstractNumId w:val="27"/>
  </w:num>
  <w:num w:numId="25">
    <w:abstractNumId w:val="34"/>
  </w:num>
  <w:num w:numId="26">
    <w:abstractNumId w:val="14"/>
  </w:num>
  <w:num w:numId="27">
    <w:abstractNumId w:val="8"/>
  </w:num>
  <w:num w:numId="28">
    <w:abstractNumId w:val="12"/>
  </w:num>
  <w:num w:numId="29">
    <w:abstractNumId w:val="6"/>
  </w:num>
  <w:num w:numId="30">
    <w:abstractNumId w:val="28"/>
  </w:num>
  <w:num w:numId="31">
    <w:abstractNumId w:val="11"/>
  </w:num>
  <w:num w:numId="32">
    <w:abstractNumId w:val="30"/>
  </w:num>
  <w:num w:numId="33">
    <w:abstractNumId w:val="25"/>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3"/>
  </w:num>
  <w:num w:numId="3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CyMLe0MDc2MjUzNDdV0lEKTi0uzszPAykwqwUAt0BTXSwAAAA="/>
  </w:docVars>
  <w:rsids>
    <w:rsidRoot w:val="00AE4428"/>
    <w:rsid w:val="00000551"/>
    <w:rsid w:val="00002031"/>
    <w:rsid w:val="00002960"/>
    <w:rsid w:val="00003866"/>
    <w:rsid w:val="00006B76"/>
    <w:rsid w:val="00010085"/>
    <w:rsid w:val="000104A7"/>
    <w:rsid w:val="000116B2"/>
    <w:rsid w:val="00011E08"/>
    <w:rsid w:val="00014A89"/>
    <w:rsid w:val="000238B5"/>
    <w:rsid w:val="00023DDA"/>
    <w:rsid w:val="00024CFB"/>
    <w:rsid w:val="00025102"/>
    <w:rsid w:val="00030AEB"/>
    <w:rsid w:val="00031635"/>
    <w:rsid w:val="000326C5"/>
    <w:rsid w:val="00035AAD"/>
    <w:rsid w:val="00035B36"/>
    <w:rsid w:val="00037FEF"/>
    <w:rsid w:val="000417D5"/>
    <w:rsid w:val="00041D78"/>
    <w:rsid w:val="00044762"/>
    <w:rsid w:val="00047323"/>
    <w:rsid w:val="000476DB"/>
    <w:rsid w:val="00050089"/>
    <w:rsid w:val="00050511"/>
    <w:rsid w:val="00050C73"/>
    <w:rsid w:val="000529CA"/>
    <w:rsid w:val="00052B06"/>
    <w:rsid w:val="00053382"/>
    <w:rsid w:val="0005463A"/>
    <w:rsid w:val="000570FA"/>
    <w:rsid w:val="00057600"/>
    <w:rsid w:val="00062030"/>
    <w:rsid w:val="00065EDA"/>
    <w:rsid w:val="00066EF2"/>
    <w:rsid w:val="00067EFE"/>
    <w:rsid w:val="00072262"/>
    <w:rsid w:val="0007233C"/>
    <w:rsid w:val="00072347"/>
    <w:rsid w:val="00073513"/>
    <w:rsid w:val="000750B9"/>
    <w:rsid w:val="0007750B"/>
    <w:rsid w:val="000802CA"/>
    <w:rsid w:val="000803A6"/>
    <w:rsid w:val="00080E14"/>
    <w:rsid w:val="0008236E"/>
    <w:rsid w:val="000847D8"/>
    <w:rsid w:val="00084F1F"/>
    <w:rsid w:val="0008579F"/>
    <w:rsid w:val="00085EC0"/>
    <w:rsid w:val="00091A7C"/>
    <w:rsid w:val="0009409B"/>
    <w:rsid w:val="00094E20"/>
    <w:rsid w:val="00095028"/>
    <w:rsid w:val="00095E1D"/>
    <w:rsid w:val="000977FD"/>
    <w:rsid w:val="00097ADA"/>
    <w:rsid w:val="00097C33"/>
    <w:rsid w:val="000A12F0"/>
    <w:rsid w:val="000A39CF"/>
    <w:rsid w:val="000A5917"/>
    <w:rsid w:val="000A59F5"/>
    <w:rsid w:val="000A6C2B"/>
    <w:rsid w:val="000A7D08"/>
    <w:rsid w:val="000B1CAF"/>
    <w:rsid w:val="000B2602"/>
    <w:rsid w:val="000B413E"/>
    <w:rsid w:val="000B427E"/>
    <w:rsid w:val="000B4B31"/>
    <w:rsid w:val="000B623F"/>
    <w:rsid w:val="000C07DA"/>
    <w:rsid w:val="000C480D"/>
    <w:rsid w:val="000C6126"/>
    <w:rsid w:val="000C692B"/>
    <w:rsid w:val="000C6C3A"/>
    <w:rsid w:val="000C7E82"/>
    <w:rsid w:val="000D013B"/>
    <w:rsid w:val="000D1DF2"/>
    <w:rsid w:val="000D22E3"/>
    <w:rsid w:val="000D3469"/>
    <w:rsid w:val="000D4A06"/>
    <w:rsid w:val="000D6F3A"/>
    <w:rsid w:val="000D722A"/>
    <w:rsid w:val="000D75AF"/>
    <w:rsid w:val="000D7BD4"/>
    <w:rsid w:val="000E02BD"/>
    <w:rsid w:val="000E1D54"/>
    <w:rsid w:val="000E3D95"/>
    <w:rsid w:val="000E4300"/>
    <w:rsid w:val="000E44B7"/>
    <w:rsid w:val="000E4EF5"/>
    <w:rsid w:val="000E5125"/>
    <w:rsid w:val="000E544D"/>
    <w:rsid w:val="000E64EC"/>
    <w:rsid w:val="000E74D3"/>
    <w:rsid w:val="000E7AED"/>
    <w:rsid w:val="000F46ED"/>
    <w:rsid w:val="000F5108"/>
    <w:rsid w:val="000F6A66"/>
    <w:rsid w:val="000F7107"/>
    <w:rsid w:val="000F7109"/>
    <w:rsid w:val="000F75AE"/>
    <w:rsid w:val="000F75BC"/>
    <w:rsid w:val="0010285A"/>
    <w:rsid w:val="00103C8C"/>
    <w:rsid w:val="00103D47"/>
    <w:rsid w:val="00104268"/>
    <w:rsid w:val="00105948"/>
    <w:rsid w:val="00106B6C"/>
    <w:rsid w:val="001075AD"/>
    <w:rsid w:val="00107D5E"/>
    <w:rsid w:val="0011239F"/>
    <w:rsid w:val="00112538"/>
    <w:rsid w:val="0011493B"/>
    <w:rsid w:val="00115C7F"/>
    <w:rsid w:val="0011632A"/>
    <w:rsid w:val="0011768B"/>
    <w:rsid w:val="001178C6"/>
    <w:rsid w:val="00121322"/>
    <w:rsid w:val="00121D68"/>
    <w:rsid w:val="00122CA0"/>
    <w:rsid w:val="001258F5"/>
    <w:rsid w:val="00126300"/>
    <w:rsid w:val="00127181"/>
    <w:rsid w:val="00127CF9"/>
    <w:rsid w:val="00132088"/>
    <w:rsid w:val="00134803"/>
    <w:rsid w:val="00136BD0"/>
    <w:rsid w:val="0013789B"/>
    <w:rsid w:val="00140742"/>
    <w:rsid w:val="00141231"/>
    <w:rsid w:val="00141F81"/>
    <w:rsid w:val="00142973"/>
    <w:rsid w:val="00143B14"/>
    <w:rsid w:val="00145A69"/>
    <w:rsid w:val="001460B0"/>
    <w:rsid w:val="001472AD"/>
    <w:rsid w:val="00147E87"/>
    <w:rsid w:val="0015155B"/>
    <w:rsid w:val="001526CF"/>
    <w:rsid w:val="001526EC"/>
    <w:rsid w:val="00153CB3"/>
    <w:rsid w:val="001545B7"/>
    <w:rsid w:val="00156075"/>
    <w:rsid w:val="00156162"/>
    <w:rsid w:val="00160008"/>
    <w:rsid w:val="00160A33"/>
    <w:rsid w:val="00160BC6"/>
    <w:rsid w:val="00160D9B"/>
    <w:rsid w:val="0016121F"/>
    <w:rsid w:val="001621A5"/>
    <w:rsid w:val="001624B7"/>
    <w:rsid w:val="00162EE1"/>
    <w:rsid w:val="00163ADE"/>
    <w:rsid w:val="00164964"/>
    <w:rsid w:val="001712D5"/>
    <w:rsid w:val="001734DE"/>
    <w:rsid w:val="00174593"/>
    <w:rsid w:val="00174F73"/>
    <w:rsid w:val="00175B54"/>
    <w:rsid w:val="00177C8E"/>
    <w:rsid w:val="001800BD"/>
    <w:rsid w:val="001823B4"/>
    <w:rsid w:val="0018417D"/>
    <w:rsid w:val="00185342"/>
    <w:rsid w:val="0019168D"/>
    <w:rsid w:val="00192EF6"/>
    <w:rsid w:val="0019333B"/>
    <w:rsid w:val="00194084"/>
    <w:rsid w:val="00194611"/>
    <w:rsid w:val="0019566E"/>
    <w:rsid w:val="00195F09"/>
    <w:rsid w:val="001A1715"/>
    <w:rsid w:val="001A24BA"/>
    <w:rsid w:val="001A3A97"/>
    <w:rsid w:val="001A4099"/>
    <w:rsid w:val="001A4231"/>
    <w:rsid w:val="001A49C8"/>
    <w:rsid w:val="001A4A3B"/>
    <w:rsid w:val="001A4F93"/>
    <w:rsid w:val="001A5034"/>
    <w:rsid w:val="001A51D6"/>
    <w:rsid w:val="001B019A"/>
    <w:rsid w:val="001B0383"/>
    <w:rsid w:val="001B08E7"/>
    <w:rsid w:val="001B6561"/>
    <w:rsid w:val="001B7C7B"/>
    <w:rsid w:val="001B7CEE"/>
    <w:rsid w:val="001C0DBF"/>
    <w:rsid w:val="001C1636"/>
    <w:rsid w:val="001C1B23"/>
    <w:rsid w:val="001C246E"/>
    <w:rsid w:val="001C34EB"/>
    <w:rsid w:val="001C3658"/>
    <w:rsid w:val="001C3C1C"/>
    <w:rsid w:val="001C4C4B"/>
    <w:rsid w:val="001C52FB"/>
    <w:rsid w:val="001C7185"/>
    <w:rsid w:val="001C7693"/>
    <w:rsid w:val="001D0F1D"/>
    <w:rsid w:val="001D1198"/>
    <w:rsid w:val="001D2437"/>
    <w:rsid w:val="001D455E"/>
    <w:rsid w:val="001D487B"/>
    <w:rsid w:val="001D633D"/>
    <w:rsid w:val="001D6F80"/>
    <w:rsid w:val="001D7BF6"/>
    <w:rsid w:val="001E3EDC"/>
    <w:rsid w:val="001F0DC8"/>
    <w:rsid w:val="001F3174"/>
    <w:rsid w:val="001F4ABB"/>
    <w:rsid w:val="001F4EBD"/>
    <w:rsid w:val="001F5087"/>
    <w:rsid w:val="001F52E4"/>
    <w:rsid w:val="001F5587"/>
    <w:rsid w:val="00201D54"/>
    <w:rsid w:val="00202638"/>
    <w:rsid w:val="00202942"/>
    <w:rsid w:val="00204DE3"/>
    <w:rsid w:val="0020588A"/>
    <w:rsid w:val="0020605C"/>
    <w:rsid w:val="00210EE9"/>
    <w:rsid w:val="002110A5"/>
    <w:rsid w:val="002110B6"/>
    <w:rsid w:val="00211694"/>
    <w:rsid w:val="00213336"/>
    <w:rsid w:val="00215C9B"/>
    <w:rsid w:val="0021632E"/>
    <w:rsid w:val="0022019C"/>
    <w:rsid w:val="00221406"/>
    <w:rsid w:val="00222BF4"/>
    <w:rsid w:val="00222C7C"/>
    <w:rsid w:val="00223383"/>
    <w:rsid w:val="002235E8"/>
    <w:rsid w:val="00224459"/>
    <w:rsid w:val="0023029E"/>
    <w:rsid w:val="00230DA9"/>
    <w:rsid w:val="002318BE"/>
    <w:rsid w:val="00231926"/>
    <w:rsid w:val="00232E8A"/>
    <w:rsid w:val="00240C6B"/>
    <w:rsid w:val="002429E9"/>
    <w:rsid w:val="00242CF5"/>
    <w:rsid w:val="002456BD"/>
    <w:rsid w:val="0024577A"/>
    <w:rsid w:val="00245923"/>
    <w:rsid w:val="00247C43"/>
    <w:rsid w:val="002518C2"/>
    <w:rsid w:val="00251D53"/>
    <w:rsid w:val="00253B5D"/>
    <w:rsid w:val="00255711"/>
    <w:rsid w:val="00256C65"/>
    <w:rsid w:val="0025720B"/>
    <w:rsid w:val="00257725"/>
    <w:rsid w:val="00257C6F"/>
    <w:rsid w:val="002601F7"/>
    <w:rsid w:val="00260730"/>
    <w:rsid w:val="00261723"/>
    <w:rsid w:val="0026232E"/>
    <w:rsid w:val="002637EC"/>
    <w:rsid w:val="0026490E"/>
    <w:rsid w:val="00265184"/>
    <w:rsid w:val="00265458"/>
    <w:rsid w:val="00265493"/>
    <w:rsid w:val="00265CC2"/>
    <w:rsid w:val="00267598"/>
    <w:rsid w:val="00271E49"/>
    <w:rsid w:val="00274948"/>
    <w:rsid w:val="00276485"/>
    <w:rsid w:val="002764C8"/>
    <w:rsid w:val="00281489"/>
    <w:rsid w:val="00281BF0"/>
    <w:rsid w:val="00282B10"/>
    <w:rsid w:val="00282FF4"/>
    <w:rsid w:val="00283C1E"/>
    <w:rsid w:val="002855CA"/>
    <w:rsid w:val="00286496"/>
    <w:rsid w:val="00286C6C"/>
    <w:rsid w:val="00286E1A"/>
    <w:rsid w:val="00290E09"/>
    <w:rsid w:val="00292692"/>
    <w:rsid w:val="002946CC"/>
    <w:rsid w:val="00294813"/>
    <w:rsid w:val="00296A31"/>
    <w:rsid w:val="002970EF"/>
    <w:rsid w:val="00297985"/>
    <w:rsid w:val="002A0747"/>
    <w:rsid w:val="002A0BBA"/>
    <w:rsid w:val="002A3FE2"/>
    <w:rsid w:val="002A5E5F"/>
    <w:rsid w:val="002A61A7"/>
    <w:rsid w:val="002A7225"/>
    <w:rsid w:val="002A7508"/>
    <w:rsid w:val="002B0C85"/>
    <w:rsid w:val="002B0DE1"/>
    <w:rsid w:val="002B33E8"/>
    <w:rsid w:val="002B3E38"/>
    <w:rsid w:val="002B5B93"/>
    <w:rsid w:val="002B5D15"/>
    <w:rsid w:val="002B62F9"/>
    <w:rsid w:val="002B7F39"/>
    <w:rsid w:val="002C0288"/>
    <w:rsid w:val="002C0631"/>
    <w:rsid w:val="002C0C59"/>
    <w:rsid w:val="002C2C64"/>
    <w:rsid w:val="002C2D34"/>
    <w:rsid w:val="002C35D9"/>
    <w:rsid w:val="002C6FC3"/>
    <w:rsid w:val="002C70EA"/>
    <w:rsid w:val="002C7E78"/>
    <w:rsid w:val="002D02A1"/>
    <w:rsid w:val="002D0FD6"/>
    <w:rsid w:val="002D13D7"/>
    <w:rsid w:val="002D1CF7"/>
    <w:rsid w:val="002D2AC4"/>
    <w:rsid w:val="002D3429"/>
    <w:rsid w:val="002D4709"/>
    <w:rsid w:val="002D4C5D"/>
    <w:rsid w:val="002D58D1"/>
    <w:rsid w:val="002D5DCB"/>
    <w:rsid w:val="002D5F2B"/>
    <w:rsid w:val="002D6AEF"/>
    <w:rsid w:val="002E026A"/>
    <w:rsid w:val="002E03D2"/>
    <w:rsid w:val="002E10C6"/>
    <w:rsid w:val="002E115E"/>
    <w:rsid w:val="002E1CBF"/>
    <w:rsid w:val="002E3DB6"/>
    <w:rsid w:val="002F0AB1"/>
    <w:rsid w:val="002F11D6"/>
    <w:rsid w:val="002F1A3B"/>
    <w:rsid w:val="002F246F"/>
    <w:rsid w:val="002F29AB"/>
    <w:rsid w:val="002F389B"/>
    <w:rsid w:val="002F4649"/>
    <w:rsid w:val="002F4E67"/>
    <w:rsid w:val="0030097C"/>
    <w:rsid w:val="00301C91"/>
    <w:rsid w:val="00303B64"/>
    <w:rsid w:val="003046A2"/>
    <w:rsid w:val="00304885"/>
    <w:rsid w:val="00306380"/>
    <w:rsid w:val="0030707E"/>
    <w:rsid w:val="003113D5"/>
    <w:rsid w:val="003144E5"/>
    <w:rsid w:val="00315A2D"/>
    <w:rsid w:val="003172FB"/>
    <w:rsid w:val="00320C88"/>
    <w:rsid w:val="00320D78"/>
    <w:rsid w:val="0032112F"/>
    <w:rsid w:val="00321BB0"/>
    <w:rsid w:val="00321E2B"/>
    <w:rsid w:val="003230EC"/>
    <w:rsid w:val="00323498"/>
    <w:rsid w:val="003247C7"/>
    <w:rsid w:val="00324FEE"/>
    <w:rsid w:val="00325418"/>
    <w:rsid w:val="0032582A"/>
    <w:rsid w:val="00330DA1"/>
    <w:rsid w:val="003317E8"/>
    <w:rsid w:val="003340E4"/>
    <w:rsid w:val="003359AA"/>
    <w:rsid w:val="0033621B"/>
    <w:rsid w:val="003407D4"/>
    <w:rsid w:val="00340FA6"/>
    <w:rsid w:val="0034237E"/>
    <w:rsid w:val="003452E4"/>
    <w:rsid w:val="003468E4"/>
    <w:rsid w:val="00346B7D"/>
    <w:rsid w:val="0034752E"/>
    <w:rsid w:val="003477AD"/>
    <w:rsid w:val="00353EB2"/>
    <w:rsid w:val="0035496A"/>
    <w:rsid w:val="00356FDA"/>
    <w:rsid w:val="003573D1"/>
    <w:rsid w:val="003619B8"/>
    <w:rsid w:val="003621B8"/>
    <w:rsid w:val="00362CB5"/>
    <w:rsid w:val="0036425C"/>
    <w:rsid w:val="003647A9"/>
    <w:rsid w:val="003647F8"/>
    <w:rsid w:val="003658B4"/>
    <w:rsid w:val="00365C24"/>
    <w:rsid w:val="0036697A"/>
    <w:rsid w:val="00367DBF"/>
    <w:rsid w:val="00367FC9"/>
    <w:rsid w:val="003766B2"/>
    <w:rsid w:val="003802D5"/>
    <w:rsid w:val="003807B5"/>
    <w:rsid w:val="0038130C"/>
    <w:rsid w:val="00383160"/>
    <w:rsid w:val="0038362D"/>
    <w:rsid w:val="003837AE"/>
    <w:rsid w:val="00386C48"/>
    <w:rsid w:val="00387E51"/>
    <w:rsid w:val="003902CB"/>
    <w:rsid w:val="00391BF5"/>
    <w:rsid w:val="00391C84"/>
    <w:rsid w:val="00391EAF"/>
    <w:rsid w:val="00392E56"/>
    <w:rsid w:val="00396717"/>
    <w:rsid w:val="003A154F"/>
    <w:rsid w:val="003A1FF1"/>
    <w:rsid w:val="003A312C"/>
    <w:rsid w:val="003A4B64"/>
    <w:rsid w:val="003A4D5D"/>
    <w:rsid w:val="003A4DC4"/>
    <w:rsid w:val="003A5F1B"/>
    <w:rsid w:val="003A702B"/>
    <w:rsid w:val="003A76BA"/>
    <w:rsid w:val="003B164F"/>
    <w:rsid w:val="003B201A"/>
    <w:rsid w:val="003B7F24"/>
    <w:rsid w:val="003C0A68"/>
    <w:rsid w:val="003C27A4"/>
    <w:rsid w:val="003C2D48"/>
    <w:rsid w:val="003C4AC0"/>
    <w:rsid w:val="003C5EE1"/>
    <w:rsid w:val="003C5F57"/>
    <w:rsid w:val="003C67BA"/>
    <w:rsid w:val="003C7B0E"/>
    <w:rsid w:val="003D0394"/>
    <w:rsid w:val="003D0568"/>
    <w:rsid w:val="003D0793"/>
    <w:rsid w:val="003D1B3A"/>
    <w:rsid w:val="003D1EE2"/>
    <w:rsid w:val="003D2F23"/>
    <w:rsid w:val="003D32E7"/>
    <w:rsid w:val="003D3B58"/>
    <w:rsid w:val="003D4468"/>
    <w:rsid w:val="003E5DBB"/>
    <w:rsid w:val="003E5E37"/>
    <w:rsid w:val="003E696F"/>
    <w:rsid w:val="003E6EC6"/>
    <w:rsid w:val="003E70D8"/>
    <w:rsid w:val="003E7A02"/>
    <w:rsid w:val="003F0C47"/>
    <w:rsid w:val="003F20B6"/>
    <w:rsid w:val="003F21F3"/>
    <w:rsid w:val="003F26A8"/>
    <w:rsid w:val="003F2DD7"/>
    <w:rsid w:val="003F4022"/>
    <w:rsid w:val="003F45AA"/>
    <w:rsid w:val="003F49F1"/>
    <w:rsid w:val="003F4A1E"/>
    <w:rsid w:val="003F5F7C"/>
    <w:rsid w:val="003F72A0"/>
    <w:rsid w:val="003F7BCA"/>
    <w:rsid w:val="00402F4A"/>
    <w:rsid w:val="00403457"/>
    <w:rsid w:val="0040389C"/>
    <w:rsid w:val="00403DA0"/>
    <w:rsid w:val="004046FB"/>
    <w:rsid w:val="00404D6D"/>
    <w:rsid w:val="00405225"/>
    <w:rsid w:val="00413CF5"/>
    <w:rsid w:val="00414D6F"/>
    <w:rsid w:val="00414E53"/>
    <w:rsid w:val="0041585D"/>
    <w:rsid w:val="004158B6"/>
    <w:rsid w:val="00416567"/>
    <w:rsid w:val="004220FF"/>
    <w:rsid w:val="00423A82"/>
    <w:rsid w:val="00424298"/>
    <w:rsid w:val="00425B97"/>
    <w:rsid w:val="00427E0A"/>
    <w:rsid w:val="00431016"/>
    <w:rsid w:val="00431F26"/>
    <w:rsid w:val="004322A6"/>
    <w:rsid w:val="0043392F"/>
    <w:rsid w:val="0043557F"/>
    <w:rsid w:val="0043562C"/>
    <w:rsid w:val="00435A4E"/>
    <w:rsid w:val="00435EBA"/>
    <w:rsid w:val="00436B4F"/>
    <w:rsid w:val="004374DB"/>
    <w:rsid w:val="0044022E"/>
    <w:rsid w:val="00440544"/>
    <w:rsid w:val="00442C46"/>
    <w:rsid w:val="004458E7"/>
    <w:rsid w:val="004466E5"/>
    <w:rsid w:val="00446A69"/>
    <w:rsid w:val="00450187"/>
    <w:rsid w:val="0045278F"/>
    <w:rsid w:val="0045393E"/>
    <w:rsid w:val="0045503D"/>
    <w:rsid w:val="004550CB"/>
    <w:rsid w:val="00457E03"/>
    <w:rsid w:val="00460748"/>
    <w:rsid w:val="004610E0"/>
    <w:rsid w:val="00461D47"/>
    <w:rsid w:val="00463011"/>
    <w:rsid w:val="00466293"/>
    <w:rsid w:val="00466833"/>
    <w:rsid w:val="00466E78"/>
    <w:rsid w:val="0046729B"/>
    <w:rsid w:val="00467920"/>
    <w:rsid w:val="004714F4"/>
    <w:rsid w:val="0047154E"/>
    <w:rsid w:val="004729BD"/>
    <w:rsid w:val="00472D95"/>
    <w:rsid w:val="00473441"/>
    <w:rsid w:val="00473696"/>
    <w:rsid w:val="00473CC7"/>
    <w:rsid w:val="00480D65"/>
    <w:rsid w:val="00483939"/>
    <w:rsid w:val="00486DA5"/>
    <w:rsid w:val="0049198F"/>
    <w:rsid w:val="004919E9"/>
    <w:rsid w:val="0049340B"/>
    <w:rsid w:val="004A104A"/>
    <w:rsid w:val="004A4340"/>
    <w:rsid w:val="004A4476"/>
    <w:rsid w:val="004A4782"/>
    <w:rsid w:val="004A5A47"/>
    <w:rsid w:val="004A632B"/>
    <w:rsid w:val="004A7226"/>
    <w:rsid w:val="004A78B1"/>
    <w:rsid w:val="004B11EF"/>
    <w:rsid w:val="004B1F56"/>
    <w:rsid w:val="004B30F5"/>
    <w:rsid w:val="004B41DA"/>
    <w:rsid w:val="004B5249"/>
    <w:rsid w:val="004C04A2"/>
    <w:rsid w:val="004C3061"/>
    <w:rsid w:val="004C332E"/>
    <w:rsid w:val="004C55E3"/>
    <w:rsid w:val="004C701E"/>
    <w:rsid w:val="004C7441"/>
    <w:rsid w:val="004D0083"/>
    <w:rsid w:val="004D25E7"/>
    <w:rsid w:val="004D279F"/>
    <w:rsid w:val="004D423C"/>
    <w:rsid w:val="004D4832"/>
    <w:rsid w:val="004D7D62"/>
    <w:rsid w:val="004E23E1"/>
    <w:rsid w:val="004E2C74"/>
    <w:rsid w:val="004E2CFB"/>
    <w:rsid w:val="004E412F"/>
    <w:rsid w:val="004F1FD5"/>
    <w:rsid w:val="004F32C0"/>
    <w:rsid w:val="004F3B4A"/>
    <w:rsid w:val="0050011F"/>
    <w:rsid w:val="00500F27"/>
    <w:rsid w:val="00501DA1"/>
    <w:rsid w:val="00502FA4"/>
    <w:rsid w:val="005058C4"/>
    <w:rsid w:val="00505E7D"/>
    <w:rsid w:val="00506C5D"/>
    <w:rsid w:val="00506FE7"/>
    <w:rsid w:val="00507E05"/>
    <w:rsid w:val="00510BEB"/>
    <w:rsid w:val="0051162B"/>
    <w:rsid w:val="00514271"/>
    <w:rsid w:val="00514A5B"/>
    <w:rsid w:val="00514B59"/>
    <w:rsid w:val="00517D64"/>
    <w:rsid w:val="00520196"/>
    <w:rsid w:val="00522DD3"/>
    <w:rsid w:val="00523714"/>
    <w:rsid w:val="0052561A"/>
    <w:rsid w:val="00525E83"/>
    <w:rsid w:val="0053012C"/>
    <w:rsid w:val="005306EC"/>
    <w:rsid w:val="005330DA"/>
    <w:rsid w:val="005338BA"/>
    <w:rsid w:val="005359D3"/>
    <w:rsid w:val="00536956"/>
    <w:rsid w:val="005377AF"/>
    <w:rsid w:val="005432DE"/>
    <w:rsid w:val="00543CF9"/>
    <w:rsid w:val="00544DD3"/>
    <w:rsid w:val="00544E3E"/>
    <w:rsid w:val="005453E5"/>
    <w:rsid w:val="00545466"/>
    <w:rsid w:val="005454FD"/>
    <w:rsid w:val="0054552C"/>
    <w:rsid w:val="00546550"/>
    <w:rsid w:val="00546FAA"/>
    <w:rsid w:val="00547254"/>
    <w:rsid w:val="00547518"/>
    <w:rsid w:val="005547D0"/>
    <w:rsid w:val="00556C35"/>
    <w:rsid w:val="00557BFB"/>
    <w:rsid w:val="00560DB0"/>
    <w:rsid w:val="00565D44"/>
    <w:rsid w:val="005664E4"/>
    <w:rsid w:val="00571FD5"/>
    <w:rsid w:val="0057209D"/>
    <w:rsid w:val="00572CAB"/>
    <w:rsid w:val="005741FC"/>
    <w:rsid w:val="00574E39"/>
    <w:rsid w:val="005755AF"/>
    <w:rsid w:val="00576943"/>
    <w:rsid w:val="005770AC"/>
    <w:rsid w:val="00582206"/>
    <w:rsid w:val="005822D2"/>
    <w:rsid w:val="0058253A"/>
    <w:rsid w:val="005855D6"/>
    <w:rsid w:val="00585AAE"/>
    <w:rsid w:val="005861A9"/>
    <w:rsid w:val="0058774E"/>
    <w:rsid w:val="00587B18"/>
    <w:rsid w:val="00587FA0"/>
    <w:rsid w:val="005945AB"/>
    <w:rsid w:val="005966DE"/>
    <w:rsid w:val="00596AFF"/>
    <w:rsid w:val="005A0CBC"/>
    <w:rsid w:val="005A29D4"/>
    <w:rsid w:val="005A5E50"/>
    <w:rsid w:val="005A783F"/>
    <w:rsid w:val="005B36D3"/>
    <w:rsid w:val="005B3F10"/>
    <w:rsid w:val="005B4406"/>
    <w:rsid w:val="005B6623"/>
    <w:rsid w:val="005C0B94"/>
    <w:rsid w:val="005C1F6E"/>
    <w:rsid w:val="005C1FAC"/>
    <w:rsid w:val="005C2698"/>
    <w:rsid w:val="005C48E6"/>
    <w:rsid w:val="005C4A52"/>
    <w:rsid w:val="005C4FCA"/>
    <w:rsid w:val="005C589A"/>
    <w:rsid w:val="005C60FE"/>
    <w:rsid w:val="005C633E"/>
    <w:rsid w:val="005C69E7"/>
    <w:rsid w:val="005C6EA5"/>
    <w:rsid w:val="005D3215"/>
    <w:rsid w:val="005D3D32"/>
    <w:rsid w:val="005D5348"/>
    <w:rsid w:val="005E06CF"/>
    <w:rsid w:val="005E0782"/>
    <w:rsid w:val="005E0A59"/>
    <w:rsid w:val="005E0BC1"/>
    <w:rsid w:val="005E0F3A"/>
    <w:rsid w:val="005E1A3A"/>
    <w:rsid w:val="005E1C96"/>
    <w:rsid w:val="005E2A44"/>
    <w:rsid w:val="005E49A7"/>
    <w:rsid w:val="005E5F3B"/>
    <w:rsid w:val="005E6F4F"/>
    <w:rsid w:val="005E789C"/>
    <w:rsid w:val="005E7B5E"/>
    <w:rsid w:val="005F0794"/>
    <w:rsid w:val="005F10EC"/>
    <w:rsid w:val="005F16AD"/>
    <w:rsid w:val="005F1BA9"/>
    <w:rsid w:val="005F308A"/>
    <w:rsid w:val="005F481E"/>
    <w:rsid w:val="005F7F10"/>
    <w:rsid w:val="00600A39"/>
    <w:rsid w:val="00600DD3"/>
    <w:rsid w:val="006046BE"/>
    <w:rsid w:val="00604E56"/>
    <w:rsid w:val="00607C03"/>
    <w:rsid w:val="0061076F"/>
    <w:rsid w:val="00612EAA"/>
    <w:rsid w:val="00612F78"/>
    <w:rsid w:val="00613CFE"/>
    <w:rsid w:val="00617579"/>
    <w:rsid w:val="006177E7"/>
    <w:rsid w:val="00620217"/>
    <w:rsid w:val="00620269"/>
    <w:rsid w:val="00622D04"/>
    <w:rsid w:val="00623473"/>
    <w:rsid w:val="0062389F"/>
    <w:rsid w:val="00623D19"/>
    <w:rsid w:val="00623E62"/>
    <w:rsid w:val="00625B7F"/>
    <w:rsid w:val="00625CED"/>
    <w:rsid w:val="00626BDB"/>
    <w:rsid w:val="0062749F"/>
    <w:rsid w:val="006276F6"/>
    <w:rsid w:val="00627B5E"/>
    <w:rsid w:val="00627DF7"/>
    <w:rsid w:val="00630C4B"/>
    <w:rsid w:val="0063110E"/>
    <w:rsid w:val="00634A88"/>
    <w:rsid w:val="00635166"/>
    <w:rsid w:val="006358DE"/>
    <w:rsid w:val="00636D6C"/>
    <w:rsid w:val="006376B7"/>
    <w:rsid w:val="006413B9"/>
    <w:rsid w:val="00642F71"/>
    <w:rsid w:val="006433AA"/>
    <w:rsid w:val="00645C44"/>
    <w:rsid w:val="00646F5D"/>
    <w:rsid w:val="00650743"/>
    <w:rsid w:val="00654E4F"/>
    <w:rsid w:val="00654F07"/>
    <w:rsid w:val="00657333"/>
    <w:rsid w:val="006603D4"/>
    <w:rsid w:val="006626BA"/>
    <w:rsid w:val="00662D11"/>
    <w:rsid w:val="006631BB"/>
    <w:rsid w:val="006638EB"/>
    <w:rsid w:val="00663F1F"/>
    <w:rsid w:val="006649E4"/>
    <w:rsid w:val="00665995"/>
    <w:rsid w:val="006700F2"/>
    <w:rsid w:val="0067052C"/>
    <w:rsid w:val="006710BC"/>
    <w:rsid w:val="006753B4"/>
    <w:rsid w:val="00676545"/>
    <w:rsid w:val="006767C7"/>
    <w:rsid w:val="00677403"/>
    <w:rsid w:val="0068051C"/>
    <w:rsid w:val="006813A3"/>
    <w:rsid w:val="0068141E"/>
    <w:rsid w:val="006826AF"/>
    <w:rsid w:val="0068383A"/>
    <w:rsid w:val="00684B3E"/>
    <w:rsid w:val="00687EC7"/>
    <w:rsid w:val="0069207D"/>
    <w:rsid w:val="00692161"/>
    <w:rsid w:val="006934A5"/>
    <w:rsid w:val="0069359A"/>
    <w:rsid w:val="006942BD"/>
    <w:rsid w:val="006946F3"/>
    <w:rsid w:val="00694A21"/>
    <w:rsid w:val="00695692"/>
    <w:rsid w:val="006975D9"/>
    <w:rsid w:val="006976BD"/>
    <w:rsid w:val="006A2393"/>
    <w:rsid w:val="006A3867"/>
    <w:rsid w:val="006A479A"/>
    <w:rsid w:val="006A5206"/>
    <w:rsid w:val="006A5886"/>
    <w:rsid w:val="006A7254"/>
    <w:rsid w:val="006B0CDA"/>
    <w:rsid w:val="006B13DC"/>
    <w:rsid w:val="006B1449"/>
    <w:rsid w:val="006B1A72"/>
    <w:rsid w:val="006B3CB1"/>
    <w:rsid w:val="006B6407"/>
    <w:rsid w:val="006B7AD7"/>
    <w:rsid w:val="006B7D2E"/>
    <w:rsid w:val="006C017F"/>
    <w:rsid w:val="006C12C1"/>
    <w:rsid w:val="006C185E"/>
    <w:rsid w:val="006C5FEF"/>
    <w:rsid w:val="006C6529"/>
    <w:rsid w:val="006C6643"/>
    <w:rsid w:val="006C688F"/>
    <w:rsid w:val="006C777A"/>
    <w:rsid w:val="006D074F"/>
    <w:rsid w:val="006D26AD"/>
    <w:rsid w:val="006D2C53"/>
    <w:rsid w:val="006D443D"/>
    <w:rsid w:val="006D5600"/>
    <w:rsid w:val="006D6021"/>
    <w:rsid w:val="006D6AF6"/>
    <w:rsid w:val="006D74D8"/>
    <w:rsid w:val="006D7CDB"/>
    <w:rsid w:val="006E0DF8"/>
    <w:rsid w:val="006E0FA0"/>
    <w:rsid w:val="006E1336"/>
    <w:rsid w:val="006E357E"/>
    <w:rsid w:val="006E3B0A"/>
    <w:rsid w:val="006E3B1A"/>
    <w:rsid w:val="006F1C95"/>
    <w:rsid w:val="006F1F2B"/>
    <w:rsid w:val="006F2275"/>
    <w:rsid w:val="006F5382"/>
    <w:rsid w:val="006F55E9"/>
    <w:rsid w:val="006F607B"/>
    <w:rsid w:val="006F628E"/>
    <w:rsid w:val="006F6565"/>
    <w:rsid w:val="00700328"/>
    <w:rsid w:val="007019DE"/>
    <w:rsid w:val="00702A11"/>
    <w:rsid w:val="00702F5D"/>
    <w:rsid w:val="00703BF4"/>
    <w:rsid w:val="00705ED0"/>
    <w:rsid w:val="00705EFE"/>
    <w:rsid w:val="0070732B"/>
    <w:rsid w:val="007079B9"/>
    <w:rsid w:val="00707F0A"/>
    <w:rsid w:val="00710C66"/>
    <w:rsid w:val="00710ED6"/>
    <w:rsid w:val="00713AE7"/>
    <w:rsid w:val="007145B6"/>
    <w:rsid w:val="00722DEA"/>
    <w:rsid w:val="00723054"/>
    <w:rsid w:val="00723F6F"/>
    <w:rsid w:val="00725BA9"/>
    <w:rsid w:val="00731EAD"/>
    <w:rsid w:val="007331F9"/>
    <w:rsid w:val="00734F71"/>
    <w:rsid w:val="00736168"/>
    <w:rsid w:val="00740B5A"/>
    <w:rsid w:val="00741926"/>
    <w:rsid w:val="00745569"/>
    <w:rsid w:val="00745FD0"/>
    <w:rsid w:val="0074645F"/>
    <w:rsid w:val="00747037"/>
    <w:rsid w:val="00747F83"/>
    <w:rsid w:val="00750F1A"/>
    <w:rsid w:val="0075128F"/>
    <w:rsid w:val="00751EF0"/>
    <w:rsid w:val="007528E9"/>
    <w:rsid w:val="00752A72"/>
    <w:rsid w:val="00754310"/>
    <w:rsid w:val="00755232"/>
    <w:rsid w:val="00755A0A"/>
    <w:rsid w:val="00756210"/>
    <w:rsid w:val="00760031"/>
    <w:rsid w:val="00761765"/>
    <w:rsid w:val="00763D2E"/>
    <w:rsid w:val="007645C3"/>
    <w:rsid w:val="007654BE"/>
    <w:rsid w:val="00765CC1"/>
    <w:rsid w:val="007661DA"/>
    <w:rsid w:val="00770532"/>
    <w:rsid w:val="0077061C"/>
    <w:rsid w:val="0077171E"/>
    <w:rsid w:val="007729AF"/>
    <w:rsid w:val="007733E0"/>
    <w:rsid w:val="007767B2"/>
    <w:rsid w:val="007778C4"/>
    <w:rsid w:val="00781343"/>
    <w:rsid w:val="007821AB"/>
    <w:rsid w:val="00783B51"/>
    <w:rsid w:val="007841A1"/>
    <w:rsid w:val="00786D0D"/>
    <w:rsid w:val="0078725F"/>
    <w:rsid w:val="0079225B"/>
    <w:rsid w:val="00792DFF"/>
    <w:rsid w:val="00794540"/>
    <w:rsid w:val="00794996"/>
    <w:rsid w:val="007952AA"/>
    <w:rsid w:val="0079777F"/>
    <w:rsid w:val="00797EE2"/>
    <w:rsid w:val="007A187F"/>
    <w:rsid w:val="007A32C8"/>
    <w:rsid w:val="007A3729"/>
    <w:rsid w:val="007A41F5"/>
    <w:rsid w:val="007A4ADD"/>
    <w:rsid w:val="007A4D4A"/>
    <w:rsid w:val="007A5896"/>
    <w:rsid w:val="007A5CC6"/>
    <w:rsid w:val="007A5D41"/>
    <w:rsid w:val="007A6E83"/>
    <w:rsid w:val="007A72DA"/>
    <w:rsid w:val="007A74F6"/>
    <w:rsid w:val="007A7686"/>
    <w:rsid w:val="007A78B5"/>
    <w:rsid w:val="007B197C"/>
    <w:rsid w:val="007B2BF4"/>
    <w:rsid w:val="007B3245"/>
    <w:rsid w:val="007B384A"/>
    <w:rsid w:val="007B4561"/>
    <w:rsid w:val="007B4876"/>
    <w:rsid w:val="007B68CA"/>
    <w:rsid w:val="007B6C32"/>
    <w:rsid w:val="007B6FF3"/>
    <w:rsid w:val="007B7800"/>
    <w:rsid w:val="007C0D9A"/>
    <w:rsid w:val="007C1DD1"/>
    <w:rsid w:val="007C27D6"/>
    <w:rsid w:val="007C2C7F"/>
    <w:rsid w:val="007C42D3"/>
    <w:rsid w:val="007C6297"/>
    <w:rsid w:val="007C77C1"/>
    <w:rsid w:val="007D005B"/>
    <w:rsid w:val="007D0440"/>
    <w:rsid w:val="007D1073"/>
    <w:rsid w:val="007D387A"/>
    <w:rsid w:val="007D4026"/>
    <w:rsid w:val="007D40B0"/>
    <w:rsid w:val="007D5DBB"/>
    <w:rsid w:val="007E098A"/>
    <w:rsid w:val="007E1DCA"/>
    <w:rsid w:val="007E3EFD"/>
    <w:rsid w:val="007E46D4"/>
    <w:rsid w:val="007E4CD6"/>
    <w:rsid w:val="007E4F18"/>
    <w:rsid w:val="007E6C21"/>
    <w:rsid w:val="007F0D88"/>
    <w:rsid w:val="007F316C"/>
    <w:rsid w:val="007F4122"/>
    <w:rsid w:val="007F56B1"/>
    <w:rsid w:val="007F5F77"/>
    <w:rsid w:val="007F68C6"/>
    <w:rsid w:val="007F6D1E"/>
    <w:rsid w:val="0080284A"/>
    <w:rsid w:val="00802AB3"/>
    <w:rsid w:val="008031B8"/>
    <w:rsid w:val="00803D0D"/>
    <w:rsid w:val="0080417B"/>
    <w:rsid w:val="00805C03"/>
    <w:rsid w:val="00806143"/>
    <w:rsid w:val="00806544"/>
    <w:rsid w:val="008106B8"/>
    <w:rsid w:val="0081234B"/>
    <w:rsid w:val="0081259B"/>
    <w:rsid w:val="0081358B"/>
    <w:rsid w:val="008136A5"/>
    <w:rsid w:val="00816FEE"/>
    <w:rsid w:val="008179B9"/>
    <w:rsid w:val="00821AA5"/>
    <w:rsid w:val="00824462"/>
    <w:rsid w:val="00824E94"/>
    <w:rsid w:val="008254E9"/>
    <w:rsid w:val="00826795"/>
    <w:rsid w:val="00826C58"/>
    <w:rsid w:val="00827519"/>
    <w:rsid w:val="00830AEC"/>
    <w:rsid w:val="00831B37"/>
    <w:rsid w:val="00831C14"/>
    <w:rsid w:val="00831DAD"/>
    <w:rsid w:val="00833F87"/>
    <w:rsid w:val="00833FFA"/>
    <w:rsid w:val="008356CF"/>
    <w:rsid w:val="00837022"/>
    <w:rsid w:val="00837754"/>
    <w:rsid w:val="00837DCB"/>
    <w:rsid w:val="00840C64"/>
    <w:rsid w:val="008427E5"/>
    <w:rsid w:val="00842E96"/>
    <w:rsid w:val="00843477"/>
    <w:rsid w:val="008439ED"/>
    <w:rsid w:val="0084589E"/>
    <w:rsid w:val="0084602A"/>
    <w:rsid w:val="0084732E"/>
    <w:rsid w:val="00847712"/>
    <w:rsid w:val="008510F6"/>
    <w:rsid w:val="00851822"/>
    <w:rsid w:val="00852ACC"/>
    <w:rsid w:val="008530CB"/>
    <w:rsid w:val="008547FB"/>
    <w:rsid w:val="0085489E"/>
    <w:rsid w:val="00855061"/>
    <w:rsid w:val="00855A10"/>
    <w:rsid w:val="00856AB9"/>
    <w:rsid w:val="00857B4F"/>
    <w:rsid w:val="008610FB"/>
    <w:rsid w:val="0086172B"/>
    <w:rsid w:val="00863C8A"/>
    <w:rsid w:val="00864A71"/>
    <w:rsid w:val="008670CE"/>
    <w:rsid w:val="0087145A"/>
    <w:rsid w:val="00872C2C"/>
    <w:rsid w:val="008733C0"/>
    <w:rsid w:val="00873BC6"/>
    <w:rsid w:val="00874A44"/>
    <w:rsid w:val="008754FC"/>
    <w:rsid w:val="008756D4"/>
    <w:rsid w:val="00875C84"/>
    <w:rsid w:val="0087749E"/>
    <w:rsid w:val="00880723"/>
    <w:rsid w:val="00881774"/>
    <w:rsid w:val="0088264D"/>
    <w:rsid w:val="00882E87"/>
    <w:rsid w:val="0088331B"/>
    <w:rsid w:val="0088495A"/>
    <w:rsid w:val="00884CAF"/>
    <w:rsid w:val="00891EBC"/>
    <w:rsid w:val="0089761F"/>
    <w:rsid w:val="0089780C"/>
    <w:rsid w:val="00897AD5"/>
    <w:rsid w:val="008A2666"/>
    <w:rsid w:val="008A2724"/>
    <w:rsid w:val="008A4FD1"/>
    <w:rsid w:val="008A5C8F"/>
    <w:rsid w:val="008A69C0"/>
    <w:rsid w:val="008A7289"/>
    <w:rsid w:val="008B0DC5"/>
    <w:rsid w:val="008B0FF6"/>
    <w:rsid w:val="008B24EB"/>
    <w:rsid w:val="008B3621"/>
    <w:rsid w:val="008B4086"/>
    <w:rsid w:val="008B439B"/>
    <w:rsid w:val="008B4C99"/>
    <w:rsid w:val="008B5267"/>
    <w:rsid w:val="008B5319"/>
    <w:rsid w:val="008C0FC5"/>
    <w:rsid w:val="008C2E71"/>
    <w:rsid w:val="008C374D"/>
    <w:rsid w:val="008C4C5E"/>
    <w:rsid w:val="008C6533"/>
    <w:rsid w:val="008C74B3"/>
    <w:rsid w:val="008C75A4"/>
    <w:rsid w:val="008D0085"/>
    <w:rsid w:val="008D1C13"/>
    <w:rsid w:val="008D2DBE"/>
    <w:rsid w:val="008D3815"/>
    <w:rsid w:val="008D4A21"/>
    <w:rsid w:val="008D5BCF"/>
    <w:rsid w:val="008D6DDA"/>
    <w:rsid w:val="008D7886"/>
    <w:rsid w:val="008E54BC"/>
    <w:rsid w:val="008E5B1E"/>
    <w:rsid w:val="008E64A2"/>
    <w:rsid w:val="008E72BA"/>
    <w:rsid w:val="008F0D0C"/>
    <w:rsid w:val="008F0D88"/>
    <w:rsid w:val="008F2371"/>
    <w:rsid w:val="008F27AD"/>
    <w:rsid w:val="008F5BF6"/>
    <w:rsid w:val="0090027E"/>
    <w:rsid w:val="00901079"/>
    <w:rsid w:val="009048FE"/>
    <w:rsid w:val="00906FF0"/>
    <w:rsid w:val="00910F13"/>
    <w:rsid w:val="009112CC"/>
    <w:rsid w:val="00911FA5"/>
    <w:rsid w:val="00912B8B"/>
    <w:rsid w:val="00913F55"/>
    <w:rsid w:val="00915068"/>
    <w:rsid w:val="00915C79"/>
    <w:rsid w:val="00916784"/>
    <w:rsid w:val="00916918"/>
    <w:rsid w:val="0091714C"/>
    <w:rsid w:val="00917677"/>
    <w:rsid w:val="00917B20"/>
    <w:rsid w:val="00917D63"/>
    <w:rsid w:val="00920415"/>
    <w:rsid w:val="009212F1"/>
    <w:rsid w:val="00922EBF"/>
    <w:rsid w:val="00923BC3"/>
    <w:rsid w:val="00924885"/>
    <w:rsid w:val="00926F9F"/>
    <w:rsid w:val="009305AE"/>
    <w:rsid w:val="0093072E"/>
    <w:rsid w:val="009331A3"/>
    <w:rsid w:val="00933CEB"/>
    <w:rsid w:val="00934C51"/>
    <w:rsid w:val="00936D5A"/>
    <w:rsid w:val="009379E4"/>
    <w:rsid w:val="00937D87"/>
    <w:rsid w:val="00941171"/>
    <w:rsid w:val="009414D8"/>
    <w:rsid w:val="0094343A"/>
    <w:rsid w:val="00943BE4"/>
    <w:rsid w:val="00943DBF"/>
    <w:rsid w:val="00945B3E"/>
    <w:rsid w:val="00946386"/>
    <w:rsid w:val="00953B06"/>
    <w:rsid w:val="00955B9D"/>
    <w:rsid w:val="00956992"/>
    <w:rsid w:val="00957860"/>
    <w:rsid w:val="0096162C"/>
    <w:rsid w:val="009623ED"/>
    <w:rsid w:val="00966D85"/>
    <w:rsid w:val="0097058D"/>
    <w:rsid w:val="009706D9"/>
    <w:rsid w:val="00970B04"/>
    <w:rsid w:val="00970EF3"/>
    <w:rsid w:val="0097263B"/>
    <w:rsid w:val="0097319E"/>
    <w:rsid w:val="009732FD"/>
    <w:rsid w:val="009748CB"/>
    <w:rsid w:val="00975767"/>
    <w:rsid w:val="00981385"/>
    <w:rsid w:val="00981399"/>
    <w:rsid w:val="00983289"/>
    <w:rsid w:val="00983798"/>
    <w:rsid w:val="009854F3"/>
    <w:rsid w:val="009856C4"/>
    <w:rsid w:val="00987CF8"/>
    <w:rsid w:val="00992B31"/>
    <w:rsid w:val="00993912"/>
    <w:rsid w:val="00995A60"/>
    <w:rsid w:val="0099696B"/>
    <w:rsid w:val="0099741D"/>
    <w:rsid w:val="00997796"/>
    <w:rsid w:val="009A134C"/>
    <w:rsid w:val="009A1640"/>
    <w:rsid w:val="009A3B7B"/>
    <w:rsid w:val="009A3D7B"/>
    <w:rsid w:val="009A4385"/>
    <w:rsid w:val="009A69AE"/>
    <w:rsid w:val="009A77D9"/>
    <w:rsid w:val="009B02E4"/>
    <w:rsid w:val="009B11BA"/>
    <w:rsid w:val="009B231C"/>
    <w:rsid w:val="009B2AD3"/>
    <w:rsid w:val="009B2B9C"/>
    <w:rsid w:val="009B3696"/>
    <w:rsid w:val="009B44F1"/>
    <w:rsid w:val="009B5196"/>
    <w:rsid w:val="009B670B"/>
    <w:rsid w:val="009C10E9"/>
    <w:rsid w:val="009C1CF1"/>
    <w:rsid w:val="009C2D87"/>
    <w:rsid w:val="009C2EC3"/>
    <w:rsid w:val="009C30F8"/>
    <w:rsid w:val="009C45F9"/>
    <w:rsid w:val="009C59F1"/>
    <w:rsid w:val="009C611A"/>
    <w:rsid w:val="009C6902"/>
    <w:rsid w:val="009C6EAF"/>
    <w:rsid w:val="009C71CA"/>
    <w:rsid w:val="009C7B9D"/>
    <w:rsid w:val="009D09EB"/>
    <w:rsid w:val="009D3ADD"/>
    <w:rsid w:val="009D3D5F"/>
    <w:rsid w:val="009D46FF"/>
    <w:rsid w:val="009D47FA"/>
    <w:rsid w:val="009D4EF2"/>
    <w:rsid w:val="009D6219"/>
    <w:rsid w:val="009E027C"/>
    <w:rsid w:val="009E0865"/>
    <w:rsid w:val="009E139E"/>
    <w:rsid w:val="009E303F"/>
    <w:rsid w:val="009E5967"/>
    <w:rsid w:val="009E7367"/>
    <w:rsid w:val="009E7EAE"/>
    <w:rsid w:val="009F0ADA"/>
    <w:rsid w:val="009F0C76"/>
    <w:rsid w:val="009F25D6"/>
    <w:rsid w:val="009F2D87"/>
    <w:rsid w:val="009F3D9C"/>
    <w:rsid w:val="009F430B"/>
    <w:rsid w:val="009F451C"/>
    <w:rsid w:val="009F48A2"/>
    <w:rsid w:val="009F4EDD"/>
    <w:rsid w:val="009F5480"/>
    <w:rsid w:val="009F56FC"/>
    <w:rsid w:val="009F6005"/>
    <w:rsid w:val="009F62ED"/>
    <w:rsid w:val="00A005B0"/>
    <w:rsid w:val="00A00889"/>
    <w:rsid w:val="00A020AA"/>
    <w:rsid w:val="00A028DB"/>
    <w:rsid w:val="00A02BFC"/>
    <w:rsid w:val="00A02D3F"/>
    <w:rsid w:val="00A04832"/>
    <w:rsid w:val="00A05D01"/>
    <w:rsid w:val="00A07790"/>
    <w:rsid w:val="00A17AEF"/>
    <w:rsid w:val="00A21DDF"/>
    <w:rsid w:val="00A2515E"/>
    <w:rsid w:val="00A2582E"/>
    <w:rsid w:val="00A25C81"/>
    <w:rsid w:val="00A27D73"/>
    <w:rsid w:val="00A307F0"/>
    <w:rsid w:val="00A31793"/>
    <w:rsid w:val="00A339DC"/>
    <w:rsid w:val="00A34761"/>
    <w:rsid w:val="00A35CCA"/>
    <w:rsid w:val="00A40E8D"/>
    <w:rsid w:val="00A4221E"/>
    <w:rsid w:val="00A430FD"/>
    <w:rsid w:val="00A44C65"/>
    <w:rsid w:val="00A46DBB"/>
    <w:rsid w:val="00A47664"/>
    <w:rsid w:val="00A509E0"/>
    <w:rsid w:val="00A52197"/>
    <w:rsid w:val="00A52864"/>
    <w:rsid w:val="00A52AFA"/>
    <w:rsid w:val="00A55C91"/>
    <w:rsid w:val="00A57849"/>
    <w:rsid w:val="00A57AC6"/>
    <w:rsid w:val="00A6188A"/>
    <w:rsid w:val="00A61FC4"/>
    <w:rsid w:val="00A632E9"/>
    <w:rsid w:val="00A63946"/>
    <w:rsid w:val="00A66ACA"/>
    <w:rsid w:val="00A66BE8"/>
    <w:rsid w:val="00A703EE"/>
    <w:rsid w:val="00A72278"/>
    <w:rsid w:val="00A731B5"/>
    <w:rsid w:val="00A738FA"/>
    <w:rsid w:val="00A74C40"/>
    <w:rsid w:val="00A7587A"/>
    <w:rsid w:val="00A76771"/>
    <w:rsid w:val="00A76B1C"/>
    <w:rsid w:val="00A84B72"/>
    <w:rsid w:val="00A84C8E"/>
    <w:rsid w:val="00A86E05"/>
    <w:rsid w:val="00A914B0"/>
    <w:rsid w:val="00A91A70"/>
    <w:rsid w:val="00A947E7"/>
    <w:rsid w:val="00A95BE6"/>
    <w:rsid w:val="00A96C6C"/>
    <w:rsid w:val="00AA0848"/>
    <w:rsid w:val="00AA215B"/>
    <w:rsid w:val="00AA25CC"/>
    <w:rsid w:val="00AA4B31"/>
    <w:rsid w:val="00AB0476"/>
    <w:rsid w:val="00AB089E"/>
    <w:rsid w:val="00AB0B5B"/>
    <w:rsid w:val="00AB15FD"/>
    <w:rsid w:val="00AB177C"/>
    <w:rsid w:val="00AB2063"/>
    <w:rsid w:val="00AB226D"/>
    <w:rsid w:val="00AB2B71"/>
    <w:rsid w:val="00AB33BD"/>
    <w:rsid w:val="00AB3B0E"/>
    <w:rsid w:val="00AB4152"/>
    <w:rsid w:val="00AB701D"/>
    <w:rsid w:val="00AC0C64"/>
    <w:rsid w:val="00AC29EC"/>
    <w:rsid w:val="00AC4E27"/>
    <w:rsid w:val="00AC613F"/>
    <w:rsid w:val="00AC76B8"/>
    <w:rsid w:val="00AC7EDB"/>
    <w:rsid w:val="00AD06A8"/>
    <w:rsid w:val="00AD0737"/>
    <w:rsid w:val="00AD29EC"/>
    <w:rsid w:val="00AD3026"/>
    <w:rsid w:val="00AD302C"/>
    <w:rsid w:val="00AD33BB"/>
    <w:rsid w:val="00AD4183"/>
    <w:rsid w:val="00AD5894"/>
    <w:rsid w:val="00AD6F76"/>
    <w:rsid w:val="00AD774A"/>
    <w:rsid w:val="00AE3272"/>
    <w:rsid w:val="00AE3FB7"/>
    <w:rsid w:val="00AE4428"/>
    <w:rsid w:val="00AE4715"/>
    <w:rsid w:val="00AE5656"/>
    <w:rsid w:val="00AE6418"/>
    <w:rsid w:val="00AF0787"/>
    <w:rsid w:val="00AF4FC3"/>
    <w:rsid w:val="00AF5120"/>
    <w:rsid w:val="00AF63D9"/>
    <w:rsid w:val="00AF745C"/>
    <w:rsid w:val="00AF76F4"/>
    <w:rsid w:val="00B0337F"/>
    <w:rsid w:val="00B05C2E"/>
    <w:rsid w:val="00B07F8C"/>
    <w:rsid w:val="00B100CE"/>
    <w:rsid w:val="00B11AA5"/>
    <w:rsid w:val="00B11FC3"/>
    <w:rsid w:val="00B138BF"/>
    <w:rsid w:val="00B14A0A"/>
    <w:rsid w:val="00B153B8"/>
    <w:rsid w:val="00B17E1D"/>
    <w:rsid w:val="00B217FF"/>
    <w:rsid w:val="00B224A0"/>
    <w:rsid w:val="00B226B5"/>
    <w:rsid w:val="00B24B25"/>
    <w:rsid w:val="00B25253"/>
    <w:rsid w:val="00B25ABE"/>
    <w:rsid w:val="00B25D22"/>
    <w:rsid w:val="00B27601"/>
    <w:rsid w:val="00B27A37"/>
    <w:rsid w:val="00B304C0"/>
    <w:rsid w:val="00B31C89"/>
    <w:rsid w:val="00B31DC6"/>
    <w:rsid w:val="00B322BE"/>
    <w:rsid w:val="00B33F01"/>
    <w:rsid w:val="00B34006"/>
    <w:rsid w:val="00B348E4"/>
    <w:rsid w:val="00B34A5F"/>
    <w:rsid w:val="00B34E78"/>
    <w:rsid w:val="00B35368"/>
    <w:rsid w:val="00B37B70"/>
    <w:rsid w:val="00B40119"/>
    <w:rsid w:val="00B43484"/>
    <w:rsid w:val="00B43C67"/>
    <w:rsid w:val="00B4436E"/>
    <w:rsid w:val="00B447AC"/>
    <w:rsid w:val="00B4580F"/>
    <w:rsid w:val="00B478CF"/>
    <w:rsid w:val="00B47CCC"/>
    <w:rsid w:val="00B50FB2"/>
    <w:rsid w:val="00B51132"/>
    <w:rsid w:val="00B542C2"/>
    <w:rsid w:val="00B545F6"/>
    <w:rsid w:val="00B54D37"/>
    <w:rsid w:val="00B55CF1"/>
    <w:rsid w:val="00B601FA"/>
    <w:rsid w:val="00B605BF"/>
    <w:rsid w:val="00B613B3"/>
    <w:rsid w:val="00B614C7"/>
    <w:rsid w:val="00B631F2"/>
    <w:rsid w:val="00B63455"/>
    <w:rsid w:val="00B639EA"/>
    <w:rsid w:val="00B63BAD"/>
    <w:rsid w:val="00B642EF"/>
    <w:rsid w:val="00B64971"/>
    <w:rsid w:val="00B66415"/>
    <w:rsid w:val="00B66652"/>
    <w:rsid w:val="00B71AD8"/>
    <w:rsid w:val="00B72F26"/>
    <w:rsid w:val="00B73876"/>
    <w:rsid w:val="00B73A4D"/>
    <w:rsid w:val="00B73DAE"/>
    <w:rsid w:val="00B74669"/>
    <w:rsid w:val="00B765FA"/>
    <w:rsid w:val="00B76AC0"/>
    <w:rsid w:val="00B77D67"/>
    <w:rsid w:val="00B80EB4"/>
    <w:rsid w:val="00B81D41"/>
    <w:rsid w:val="00B82659"/>
    <w:rsid w:val="00B84115"/>
    <w:rsid w:val="00B84B36"/>
    <w:rsid w:val="00B86FFF"/>
    <w:rsid w:val="00B91785"/>
    <w:rsid w:val="00B91C43"/>
    <w:rsid w:val="00B9285B"/>
    <w:rsid w:val="00B92C5F"/>
    <w:rsid w:val="00B96A87"/>
    <w:rsid w:val="00B96B80"/>
    <w:rsid w:val="00B9741D"/>
    <w:rsid w:val="00B97874"/>
    <w:rsid w:val="00B97F54"/>
    <w:rsid w:val="00BA22CD"/>
    <w:rsid w:val="00BA6A58"/>
    <w:rsid w:val="00BB0C86"/>
    <w:rsid w:val="00BB29B5"/>
    <w:rsid w:val="00BB31DF"/>
    <w:rsid w:val="00BB444B"/>
    <w:rsid w:val="00BB5498"/>
    <w:rsid w:val="00BC0ECE"/>
    <w:rsid w:val="00BC106C"/>
    <w:rsid w:val="00BC1BC2"/>
    <w:rsid w:val="00BC1F0B"/>
    <w:rsid w:val="00BC39C5"/>
    <w:rsid w:val="00BC458E"/>
    <w:rsid w:val="00BC5675"/>
    <w:rsid w:val="00BC6948"/>
    <w:rsid w:val="00BC7ACC"/>
    <w:rsid w:val="00BD1072"/>
    <w:rsid w:val="00BD1349"/>
    <w:rsid w:val="00BD137F"/>
    <w:rsid w:val="00BD28D3"/>
    <w:rsid w:val="00BD3172"/>
    <w:rsid w:val="00BD415F"/>
    <w:rsid w:val="00BD4D83"/>
    <w:rsid w:val="00BD540C"/>
    <w:rsid w:val="00BD5BB4"/>
    <w:rsid w:val="00BD7160"/>
    <w:rsid w:val="00BD7312"/>
    <w:rsid w:val="00BD778A"/>
    <w:rsid w:val="00BE0D41"/>
    <w:rsid w:val="00BE178F"/>
    <w:rsid w:val="00BE237C"/>
    <w:rsid w:val="00BE2627"/>
    <w:rsid w:val="00BE3DAB"/>
    <w:rsid w:val="00BE4115"/>
    <w:rsid w:val="00BE46E7"/>
    <w:rsid w:val="00BE4D30"/>
    <w:rsid w:val="00BE5C47"/>
    <w:rsid w:val="00BF79F2"/>
    <w:rsid w:val="00BF7ABE"/>
    <w:rsid w:val="00BF7F5E"/>
    <w:rsid w:val="00C00CCB"/>
    <w:rsid w:val="00C03C32"/>
    <w:rsid w:val="00C0582A"/>
    <w:rsid w:val="00C0635F"/>
    <w:rsid w:val="00C06C27"/>
    <w:rsid w:val="00C07234"/>
    <w:rsid w:val="00C10613"/>
    <w:rsid w:val="00C11D0A"/>
    <w:rsid w:val="00C120A8"/>
    <w:rsid w:val="00C1210A"/>
    <w:rsid w:val="00C121C2"/>
    <w:rsid w:val="00C13874"/>
    <w:rsid w:val="00C17F0A"/>
    <w:rsid w:val="00C2003E"/>
    <w:rsid w:val="00C200A2"/>
    <w:rsid w:val="00C20A07"/>
    <w:rsid w:val="00C24388"/>
    <w:rsid w:val="00C25AD8"/>
    <w:rsid w:val="00C2771D"/>
    <w:rsid w:val="00C313B8"/>
    <w:rsid w:val="00C3208A"/>
    <w:rsid w:val="00C33F1C"/>
    <w:rsid w:val="00C33F9C"/>
    <w:rsid w:val="00C3460A"/>
    <w:rsid w:val="00C35684"/>
    <w:rsid w:val="00C366BE"/>
    <w:rsid w:val="00C36718"/>
    <w:rsid w:val="00C408C8"/>
    <w:rsid w:val="00C41DF3"/>
    <w:rsid w:val="00C42389"/>
    <w:rsid w:val="00C436FE"/>
    <w:rsid w:val="00C44406"/>
    <w:rsid w:val="00C4525D"/>
    <w:rsid w:val="00C45B3B"/>
    <w:rsid w:val="00C4658C"/>
    <w:rsid w:val="00C511B7"/>
    <w:rsid w:val="00C538A4"/>
    <w:rsid w:val="00C54D60"/>
    <w:rsid w:val="00C5626A"/>
    <w:rsid w:val="00C56F32"/>
    <w:rsid w:val="00C57B17"/>
    <w:rsid w:val="00C61007"/>
    <w:rsid w:val="00C6134B"/>
    <w:rsid w:val="00C622F7"/>
    <w:rsid w:val="00C630C6"/>
    <w:rsid w:val="00C6593A"/>
    <w:rsid w:val="00C75F30"/>
    <w:rsid w:val="00C80475"/>
    <w:rsid w:val="00C8080C"/>
    <w:rsid w:val="00C82A4F"/>
    <w:rsid w:val="00C83018"/>
    <w:rsid w:val="00C8379D"/>
    <w:rsid w:val="00C83EE7"/>
    <w:rsid w:val="00C842BC"/>
    <w:rsid w:val="00C85621"/>
    <w:rsid w:val="00C91271"/>
    <w:rsid w:val="00C91F42"/>
    <w:rsid w:val="00C93C1A"/>
    <w:rsid w:val="00C94B6F"/>
    <w:rsid w:val="00C94EDD"/>
    <w:rsid w:val="00C94FDF"/>
    <w:rsid w:val="00C95033"/>
    <w:rsid w:val="00C95720"/>
    <w:rsid w:val="00C95CE2"/>
    <w:rsid w:val="00C96A02"/>
    <w:rsid w:val="00C9726E"/>
    <w:rsid w:val="00C97C8B"/>
    <w:rsid w:val="00CA0643"/>
    <w:rsid w:val="00CA3270"/>
    <w:rsid w:val="00CA32A2"/>
    <w:rsid w:val="00CA498A"/>
    <w:rsid w:val="00CA5C97"/>
    <w:rsid w:val="00CA5EC9"/>
    <w:rsid w:val="00CA7649"/>
    <w:rsid w:val="00CA79F9"/>
    <w:rsid w:val="00CB005D"/>
    <w:rsid w:val="00CB29D7"/>
    <w:rsid w:val="00CB5438"/>
    <w:rsid w:val="00CB5E0F"/>
    <w:rsid w:val="00CB6BCD"/>
    <w:rsid w:val="00CB73F7"/>
    <w:rsid w:val="00CB772B"/>
    <w:rsid w:val="00CC0777"/>
    <w:rsid w:val="00CC0831"/>
    <w:rsid w:val="00CC0CDE"/>
    <w:rsid w:val="00CC0DAC"/>
    <w:rsid w:val="00CC286E"/>
    <w:rsid w:val="00CC5FC2"/>
    <w:rsid w:val="00CC7AFD"/>
    <w:rsid w:val="00CD0C68"/>
    <w:rsid w:val="00CD30D2"/>
    <w:rsid w:val="00CD3FFC"/>
    <w:rsid w:val="00CD4200"/>
    <w:rsid w:val="00CD4B6D"/>
    <w:rsid w:val="00CD6DBE"/>
    <w:rsid w:val="00CD73F5"/>
    <w:rsid w:val="00CD7A0B"/>
    <w:rsid w:val="00CD7AA6"/>
    <w:rsid w:val="00CE039C"/>
    <w:rsid w:val="00CE166F"/>
    <w:rsid w:val="00CE23B6"/>
    <w:rsid w:val="00CE242C"/>
    <w:rsid w:val="00CE3EC6"/>
    <w:rsid w:val="00CE5841"/>
    <w:rsid w:val="00CE5B4F"/>
    <w:rsid w:val="00CE5E34"/>
    <w:rsid w:val="00CE6DF5"/>
    <w:rsid w:val="00CF284B"/>
    <w:rsid w:val="00CF33B2"/>
    <w:rsid w:val="00CF5097"/>
    <w:rsid w:val="00CF5732"/>
    <w:rsid w:val="00CF579E"/>
    <w:rsid w:val="00CF5B4B"/>
    <w:rsid w:val="00CF65CE"/>
    <w:rsid w:val="00D009D5"/>
    <w:rsid w:val="00D01EE9"/>
    <w:rsid w:val="00D01FA5"/>
    <w:rsid w:val="00D02DAC"/>
    <w:rsid w:val="00D03506"/>
    <w:rsid w:val="00D04EE8"/>
    <w:rsid w:val="00D068CF"/>
    <w:rsid w:val="00D06F85"/>
    <w:rsid w:val="00D075AC"/>
    <w:rsid w:val="00D10739"/>
    <w:rsid w:val="00D11400"/>
    <w:rsid w:val="00D11DF5"/>
    <w:rsid w:val="00D124AF"/>
    <w:rsid w:val="00D14052"/>
    <w:rsid w:val="00D1485C"/>
    <w:rsid w:val="00D153FD"/>
    <w:rsid w:val="00D15F35"/>
    <w:rsid w:val="00D1662A"/>
    <w:rsid w:val="00D20E9F"/>
    <w:rsid w:val="00D21651"/>
    <w:rsid w:val="00D24D83"/>
    <w:rsid w:val="00D25D5F"/>
    <w:rsid w:val="00D262DE"/>
    <w:rsid w:val="00D27D3F"/>
    <w:rsid w:val="00D31D11"/>
    <w:rsid w:val="00D31DDF"/>
    <w:rsid w:val="00D32F20"/>
    <w:rsid w:val="00D338C1"/>
    <w:rsid w:val="00D354DF"/>
    <w:rsid w:val="00D362D9"/>
    <w:rsid w:val="00D36476"/>
    <w:rsid w:val="00D375F2"/>
    <w:rsid w:val="00D37B07"/>
    <w:rsid w:val="00D40EE9"/>
    <w:rsid w:val="00D41686"/>
    <w:rsid w:val="00D43EAF"/>
    <w:rsid w:val="00D43F0A"/>
    <w:rsid w:val="00D45A4C"/>
    <w:rsid w:val="00D46439"/>
    <w:rsid w:val="00D46AE1"/>
    <w:rsid w:val="00D46F9F"/>
    <w:rsid w:val="00D50091"/>
    <w:rsid w:val="00D503B6"/>
    <w:rsid w:val="00D51CC2"/>
    <w:rsid w:val="00D5303B"/>
    <w:rsid w:val="00D53A3C"/>
    <w:rsid w:val="00D57654"/>
    <w:rsid w:val="00D606FD"/>
    <w:rsid w:val="00D60A8F"/>
    <w:rsid w:val="00D61AD1"/>
    <w:rsid w:val="00D62A99"/>
    <w:rsid w:val="00D63DB4"/>
    <w:rsid w:val="00D70C09"/>
    <w:rsid w:val="00D7164A"/>
    <w:rsid w:val="00D7175C"/>
    <w:rsid w:val="00D71867"/>
    <w:rsid w:val="00D71F43"/>
    <w:rsid w:val="00D72861"/>
    <w:rsid w:val="00D73303"/>
    <w:rsid w:val="00D73E20"/>
    <w:rsid w:val="00D74F6A"/>
    <w:rsid w:val="00D754A7"/>
    <w:rsid w:val="00D774B4"/>
    <w:rsid w:val="00D80BE4"/>
    <w:rsid w:val="00D8167F"/>
    <w:rsid w:val="00D84821"/>
    <w:rsid w:val="00D85660"/>
    <w:rsid w:val="00D86072"/>
    <w:rsid w:val="00D87C15"/>
    <w:rsid w:val="00D90A4D"/>
    <w:rsid w:val="00D9212E"/>
    <w:rsid w:val="00D95255"/>
    <w:rsid w:val="00DA04C8"/>
    <w:rsid w:val="00DA2033"/>
    <w:rsid w:val="00DA27EB"/>
    <w:rsid w:val="00DA3906"/>
    <w:rsid w:val="00DA4022"/>
    <w:rsid w:val="00DA5AC5"/>
    <w:rsid w:val="00DA697D"/>
    <w:rsid w:val="00DA77D2"/>
    <w:rsid w:val="00DB3BF4"/>
    <w:rsid w:val="00DB6150"/>
    <w:rsid w:val="00DB6A2F"/>
    <w:rsid w:val="00DB6E26"/>
    <w:rsid w:val="00DB6F9C"/>
    <w:rsid w:val="00DB7708"/>
    <w:rsid w:val="00DB7BEF"/>
    <w:rsid w:val="00DC15E0"/>
    <w:rsid w:val="00DC2284"/>
    <w:rsid w:val="00DC310E"/>
    <w:rsid w:val="00DC315F"/>
    <w:rsid w:val="00DC52D3"/>
    <w:rsid w:val="00DC5EAB"/>
    <w:rsid w:val="00DC6083"/>
    <w:rsid w:val="00DC6FFE"/>
    <w:rsid w:val="00DD0A26"/>
    <w:rsid w:val="00DD32D8"/>
    <w:rsid w:val="00DD4357"/>
    <w:rsid w:val="00DD54D8"/>
    <w:rsid w:val="00DD6943"/>
    <w:rsid w:val="00DE0D61"/>
    <w:rsid w:val="00DE19BC"/>
    <w:rsid w:val="00DE4D76"/>
    <w:rsid w:val="00DE4E44"/>
    <w:rsid w:val="00DE7310"/>
    <w:rsid w:val="00DF04A5"/>
    <w:rsid w:val="00DF1E94"/>
    <w:rsid w:val="00DF3DF3"/>
    <w:rsid w:val="00DF4410"/>
    <w:rsid w:val="00DF4FD6"/>
    <w:rsid w:val="00DF5D6D"/>
    <w:rsid w:val="00DF680E"/>
    <w:rsid w:val="00E01097"/>
    <w:rsid w:val="00E02F31"/>
    <w:rsid w:val="00E0349A"/>
    <w:rsid w:val="00E0396B"/>
    <w:rsid w:val="00E04C87"/>
    <w:rsid w:val="00E07549"/>
    <w:rsid w:val="00E11460"/>
    <w:rsid w:val="00E12BFC"/>
    <w:rsid w:val="00E130C4"/>
    <w:rsid w:val="00E16E92"/>
    <w:rsid w:val="00E16F56"/>
    <w:rsid w:val="00E172C4"/>
    <w:rsid w:val="00E178DE"/>
    <w:rsid w:val="00E23158"/>
    <w:rsid w:val="00E23653"/>
    <w:rsid w:val="00E24E20"/>
    <w:rsid w:val="00E273E5"/>
    <w:rsid w:val="00E27CD8"/>
    <w:rsid w:val="00E31EB5"/>
    <w:rsid w:val="00E338A7"/>
    <w:rsid w:val="00E34D85"/>
    <w:rsid w:val="00E367FA"/>
    <w:rsid w:val="00E36B6F"/>
    <w:rsid w:val="00E36EF0"/>
    <w:rsid w:val="00E40768"/>
    <w:rsid w:val="00E407B1"/>
    <w:rsid w:val="00E41949"/>
    <w:rsid w:val="00E41E30"/>
    <w:rsid w:val="00E44CD8"/>
    <w:rsid w:val="00E45CF0"/>
    <w:rsid w:val="00E461AB"/>
    <w:rsid w:val="00E463AE"/>
    <w:rsid w:val="00E501B3"/>
    <w:rsid w:val="00E505F4"/>
    <w:rsid w:val="00E51B00"/>
    <w:rsid w:val="00E52470"/>
    <w:rsid w:val="00E5497C"/>
    <w:rsid w:val="00E573BD"/>
    <w:rsid w:val="00E5768A"/>
    <w:rsid w:val="00E57DE3"/>
    <w:rsid w:val="00E60F2A"/>
    <w:rsid w:val="00E61085"/>
    <w:rsid w:val="00E61932"/>
    <w:rsid w:val="00E63A10"/>
    <w:rsid w:val="00E644B4"/>
    <w:rsid w:val="00E663EB"/>
    <w:rsid w:val="00E7029F"/>
    <w:rsid w:val="00E70C93"/>
    <w:rsid w:val="00E715CE"/>
    <w:rsid w:val="00E7239A"/>
    <w:rsid w:val="00E72ED4"/>
    <w:rsid w:val="00E73219"/>
    <w:rsid w:val="00E732CD"/>
    <w:rsid w:val="00E73F31"/>
    <w:rsid w:val="00E74E44"/>
    <w:rsid w:val="00E75389"/>
    <w:rsid w:val="00E76FC7"/>
    <w:rsid w:val="00E81F62"/>
    <w:rsid w:val="00E82AA6"/>
    <w:rsid w:val="00E83684"/>
    <w:rsid w:val="00E83E40"/>
    <w:rsid w:val="00E84DF0"/>
    <w:rsid w:val="00E85291"/>
    <w:rsid w:val="00E85635"/>
    <w:rsid w:val="00E933F9"/>
    <w:rsid w:val="00E958C9"/>
    <w:rsid w:val="00E95B25"/>
    <w:rsid w:val="00E95BF4"/>
    <w:rsid w:val="00E97725"/>
    <w:rsid w:val="00E979A5"/>
    <w:rsid w:val="00EA0751"/>
    <w:rsid w:val="00EA345F"/>
    <w:rsid w:val="00EA503A"/>
    <w:rsid w:val="00EA5CC1"/>
    <w:rsid w:val="00EB0C63"/>
    <w:rsid w:val="00EB23E8"/>
    <w:rsid w:val="00EB2557"/>
    <w:rsid w:val="00EB29A4"/>
    <w:rsid w:val="00EB2D3C"/>
    <w:rsid w:val="00EB4DB5"/>
    <w:rsid w:val="00EB605B"/>
    <w:rsid w:val="00EB6090"/>
    <w:rsid w:val="00EC0976"/>
    <w:rsid w:val="00EC332A"/>
    <w:rsid w:val="00EC3821"/>
    <w:rsid w:val="00EC3E16"/>
    <w:rsid w:val="00EC3FFC"/>
    <w:rsid w:val="00EC5187"/>
    <w:rsid w:val="00EC7DB6"/>
    <w:rsid w:val="00ED11BA"/>
    <w:rsid w:val="00ED2DCF"/>
    <w:rsid w:val="00ED36A3"/>
    <w:rsid w:val="00ED36E6"/>
    <w:rsid w:val="00ED4D82"/>
    <w:rsid w:val="00ED606C"/>
    <w:rsid w:val="00EE009C"/>
    <w:rsid w:val="00EE0B2A"/>
    <w:rsid w:val="00EE20D2"/>
    <w:rsid w:val="00EE3949"/>
    <w:rsid w:val="00EE5199"/>
    <w:rsid w:val="00EE64FE"/>
    <w:rsid w:val="00EF1F73"/>
    <w:rsid w:val="00EF314F"/>
    <w:rsid w:val="00EF62C0"/>
    <w:rsid w:val="00F006D3"/>
    <w:rsid w:val="00F0281D"/>
    <w:rsid w:val="00F03889"/>
    <w:rsid w:val="00F06FEE"/>
    <w:rsid w:val="00F078E1"/>
    <w:rsid w:val="00F10C94"/>
    <w:rsid w:val="00F11CD0"/>
    <w:rsid w:val="00F128C4"/>
    <w:rsid w:val="00F13215"/>
    <w:rsid w:val="00F148AA"/>
    <w:rsid w:val="00F158D0"/>
    <w:rsid w:val="00F16E75"/>
    <w:rsid w:val="00F2019C"/>
    <w:rsid w:val="00F20A5B"/>
    <w:rsid w:val="00F21A9D"/>
    <w:rsid w:val="00F2490E"/>
    <w:rsid w:val="00F258D6"/>
    <w:rsid w:val="00F2598C"/>
    <w:rsid w:val="00F269A5"/>
    <w:rsid w:val="00F26A21"/>
    <w:rsid w:val="00F27631"/>
    <w:rsid w:val="00F277BA"/>
    <w:rsid w:val="00F27F9B"/>
    <w:rsid w:val="00F336B7"/>
    <w:rsid w:val="00F376A6"/>
    <w:rsid w:val="00F415ED"/>
    <w:rsid w:val="00F417F1"/>
    <w:rsid w:val="00F45D25"/>
    <w:rsid w:val="00F463FE"/>
    <w:rsid w:val="00F47FDA"/>
    <w:rsid w:val="00F500C7"/>
    <w:rsid w:val="00F522B1"/>
    <w:rsid w:val="00F533BC"/>
    <w:rsid w:val="00F53F76"/>
    <w:rsid w:val="00F54250"/>
    <w:rsid w:val="00F54309"/>
    <w:rsid w:val="00F551A1"/>
    <w:rsid w:val="00F57599"/>
    <w:rsid w:val="00F5783E"/>
    <w:rsid w:val="00F62C45"/>
    <w:rsid w:val="00F6330C"/>
    <w:rsid w:val="00F63509"/>
    <w:rsid w:val="00F64700"/>
    <w:rsid w:val="00F679D7"/>
    <w:rsid w:val="00F67B4F"/>
    <w:rsid w:val="00F70B36"/>
    <w:rsid w:val="00F71EAB"/>
    <w:rsid w:val="00F7336A"/>
    <w:rsid w:val="00F735FD"/>
    <w:rsid w:val="00F73AF7"/>
    <w:rsid w:val="00F74B03"/>
    <w:rsid w:val="00F75CB2"/>
    <w:rsid w:val="00F76702"/>
    <w:rsid w:val="00F8069E"/>
    <w:rsid w:val="00F81A0F"/>
    <w:rsid w:val="00F825E2"/>
    <w:rsid w:val="00F85665"/>
    <w:rsid w:val="00F875B0"/>
    <w:rsid w:val="00F91289"/>
    <w:rsid w:val="00F92B9B"/>
    <w:rsid w:val="00F944FC"/>
    <w:rsid w:val="00F945A0"/>
    <w:rsid w:val="00F950D8"/>
    <w:rsid w:val="00F963C7"/>
    <w:rsid w:val="00FA0FD6"/>
    <w:rsid w:val="00FA1509"/>
    <w:rsid w:val="00FA1E5C"/>
    <w:rsid w:val="00FA3012"/>
    <w:rsid w:val="00FA4D7D"/>
    <w:rsid w:val="00FA79AA"/>
    <w:rsid w:val="00FB20A1"/>
    <w:rsid w:val="00FB520F"/>
    <w:rsid w:val="00FB6A2F"/>
    <w:rsid w:val="00FB6B33"/>
    <w:rsid w:val="00FB745D"/>
    <w:rsid w:val="00FB7702"/>
    <w:rsid w:val="00FB7D37"/>
    <w:rsid w:val="00FC15F6"/>
    <w:rsid w:val="00FC2728"/>
    <w:rsid w:val="00FC2E58"/>
    <w:rsid w:val="00FC7A1A"/>
    <w:rsid w:val="00FC7A50"/>
    <w:rsid w:val="00FD0B82"/>
    <w:rsid w:val="00FD1346"/>
    <w:rsid w:val="00FD2B67"/>
    <w:rsid w:val="00FD37FC"/>
    <w:rsid w:val="00FD57A7"/>
    <w:rsid w:val="00FD7175"/>
    <w:rsid w:val="00FE03EE"/>
    <w:rsid w:val="00FE0F5B"/>
    <w:rsid w:val="00FE1DB6"/>
    <w:rsid w:val="00FE3C67"/>
    <w:rsid w:val="00FE410B"/>
    <w:rsid w:val="00FF043C"/>
    <w:rsid w:val="00FF081C"/>
    <w:rsid w:val="00FF35F0"/>
    <w:rsid w:val="00FF3656"/>
    <w:rsid w:val="00FF3AF8"/>
    <w:rsid w:val="00FF4608"/>
    <w:rsid w:val="00FF4FFA"/>
    <w:rsid w:val="00FF55E0"/>
    <w:rsid w:val="00FF5758"/>
    <w:rsid w:val="00FF77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DB843"/>
  <w15:docId w15:val="{FFC020EE-51C7-45E7-9E8C-975982BEB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2"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D62"/>
    <w:pPr>
      <w:jc w:val="both"/>
    </w:pPr>
    <w:rPr>
      <w:sz w:val="24"/>
      <w:szCs w:val="24"/>
    </w:rPr>
  </w:style>
  <w:style w:type="paragraph" w:styleId="Heading1">
    <w:name w:val="heading 1"/>
    <w:basedOn w:val="Normal"/>
    <w:next w:val="BodyTextFirstIndent"/>
    <w:qFormat/>
    <w:pPr>
      <w:keepNext/>
      <w:spacing w:after="240"/>
      <w:jc w:val="center"/>
      <w:outlineLvl w:val="0"/>
    </w:pPr>
    <w:rPr>
      <w:rFonts w:cs="Arial"/>
      <w:b/>
      <w:bCs/>
      <w:szCs w:val="32"/>
    </w:rPr>
  </w:style>
  <w:style w:type="paragraph" w:styleId="Heading2">
    <w:name w:val="heading 2"/>
    <w:basedOn w:val="Normal"/>
    <w:next w:val="BodyTextFirstIndent"/>
    <w:qFormat/>
    <w:pPr>
      <w:keepNext/>
      <w:spacing w:after="240"/>
      <w:ind w:firstLine="720"/>
      <w:outlineLvl w:val="1"/>
    </w:pPr>
    <w:rPr>
      <w:rFonts w:cs="Arial"/>
      <w:b/>
      <w:bCs/>
      <w:iCs/>
      <w:szCs w:val="28"/>
      <w:u w:val="single"/>
    </w:rPr>
  </w:style>
  <w:style w:type="paragraph" w:styleId="Heading3">
    <w:name w:val="heading 3"/>
    <w:basedOn w:val="Normal"/>
    <w:next w:val="BodyTextFirstIndent"/>
    <w:qFormat/>
    <w:pPr>
      <w:spacing w:after="240"/>
      <w:ind w:firstLine="1440"/>
      <w:outlineLvl w:val="2"/>
    </w:pPr>
    <w:rPr>
      <w:rFonts w:cs="Arial"/>
      <w:bCs/>
      <w:szCs w:val="26"/>
    </w:rPr>
  </w:style>
  <w:style w:type="paragraph" w:styleId="Heading4">
    <w:name w:val="heading 4"/>
    <w:basedOn w:val="Normal"/>
    <w:next w:val="Normal"/>
    <w:qFormat/>
    <w:pPr>
      <w:spacing w:after="240"/>
      <w:outlineLvl w:val="3"/>
    </w:pPr>
    <w:rPr>
      <w:bCs/>
      <w:szCs w:val="28"/>
    </w:rPr>
  </w:style>
  <w:style w:type="paragraph" w:styleId="Heading5">
    <w:name w:val="heading 5"/>
    <w:basedOn w:val="Normal"/>
    <w:next w:val="Normal"/>
    <w:qFormat/>
    <w:pPr>
      <w:spacing w:after="240"/>
      <w:outlineLvl w:val="4"/>
    </w:pPr>
    <w:rPr>
      <w:bCs/>
      <w:iCs/>
      <w:szCs w:val="26"/>
    </w:rPr>
  </w:style>
  <w:style w:type="paragraph" w:styleId="Heading6">
    <w:name w:val="heading 6"/>
    <w:basedOn w:val="Normal"/>
    <w:next w:val="Normal"/>
    <w:qFormat/>
    <w:rsid w:val="00DC52D3"/>
    <w:pPr>
      <w:tabs>
        <w:tab w:val="num" w:pos="4320"/>
      </w:tabs>
      <w:spacing w:before="240" w:after="60"/>
      <w:ind w:firstLine="3600"/>
      <w:jc w:val="left"/>
      <w:outlineLvl w:val="5"/>
    </w:pPr>
    <w:rPr>
      <w:b/>
      <w:bCs/>
      <w:sz w:val="22"/>
      <w:szCs w:val="22"/>
    </w:rPr>
  </w:style>
  <w:style w:type="paragraph" w:styleId="Heading7">
    <w:name w:val="heading 7"/>
    <w:basedOn w:val="Normal"/>
    <w:next w:val="Normal"/>
    <w:qFormat/>
    <w:rsid w:val="00DC52D3"/>
    <w:pPr>
      <w:tabs>
        <w:tab w:val="num" w:pos="5040"/>
      </w:tabs>
      <w:spacing w:before="240" w:after="60"/>
      <w:ind w:firstLine="4320"/>
      <w:jc w:val="left"/>
      <w:outlineLvl w:val="6"/>
    </w:pPr>
  </w:style>
  <w:style w:type="paragraph" w:styleId="Heading8">
    <w:name w:val="heading 8"/>
    <w:basedOn w:val="Normal"/>
    <w:next w:val="Normal"/>
    <w:qFormat/>
    <w:rsid w:val="00DC52D3"/>
    <w:pPr>
      <w:tabs>
        <w:tab w:val="num" w:pos="5760"/>
      </w:tabs>
      <w:spacing w:before="240" w:after="60"/>
      <w:ind w:firstLine="5040"/>
      <w:jc w:val="left"/>
      <w:outlineLvl w:val="7"/>
    </w:pPr>
    <w:rPr>
      <w:i/>
      <w:iCs/>
    </w:rPr>
  </w:style>
  <w:style w:type="paragraph" w:styleId="Heading9">
    <w:name w:val="heading 9"/>
    <w:basedOn w:val="Normal"/>
    <w:next w:val="Normal"/>
    <w:qFormat/>
    <w:rsid w:val="00DC52D3"/>
    <w:pPr>
      <w:tabs>
        <w:tab w:val="num" w:pos="6480"/>
      </w:tabs>
      <w:spacing w:before="240" w:after="60"/>
      <w:ind w:firstLine="57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pacing w:after="240"/>
      <w:ind w:left="1440" w:right="1440"/>
    </w:pPr>
  </w:style>
  <w:style w:type="paragraph" w:styleId="BodyText">
    <w:name w:val="Body Text"/>
    <w:basedOn w:val="Normal"/>
    <w:pPr>
      <w:spacing w:after="240"/>
    </w:pPr>
  </w:style>
  <w:style w:type="paragraph" w:styleId="BodyTextFirstIndent">
    <w:name w:val="Body Text First Indent"/>
    <w:basedOn w:val="Normal"/>
    <w:pPr>
      <w:spacing w:after="240"/>
      <w:ind w:firstLine="720"/>
    </w:pPr>
  </w:style>
  <w:style w:type="paragraph" w:styleId="BodyTextIndent">
    <w:name w:val="Body Text Indent"/>
    <w:basedOn w:val="Normal"/>
    <w:pPr>
      <w:spacing w:after="240"/>
      <w:ind w:left="720"/>
    </w:pPr>
  </w:style>
  <w:style w:type="paragraph" w:styleId="BodyTextFirstIndent2">
    <w:name w:val="Body Text First Indent 2"/>
    <w:basedOn w:val="BodyTextFirstIndent"/>
    <w:pPr>
      <w:spacing w:after="0" w:line="480" w:lineRule="auto"/>
    </w:pPr>
  </w:style>
  <w:style w:type="paragraph" w:styleId="BodyTextIndent2">
    <w:name w:val="Body Text Indent 2"/>
    <w:basedOn w:val="Normal"/>
    <w:pPr>
      <w:spacing w:line="480" w:lineRule="auto"/>
      <w:ind w:left="720"/>
    </w:pPr>
  </w:style>
  <w:style w:type="paragraph" w:styleId="BodyTextIndent3">
    <w:name w:val="Body Text Indent 3"/>
    <w:basedOn w:val="Normal"/>
    <w:pPr>
      <w:spacing w:after="240"/>
      <w:ind w:left="720" w:right="720"/>
    </w:pPr>
    <w:rPr>
      <w:szCs w:val="16"/>
    </w:rPr>
  </w:style>
  <w:style w:type="paragraph" w:styleId="Closing">
    <w:name w:val="Closing"/>
    <w:basedOn w:val="Normal"/>
    <w:pPr>
      <w:keepLines/>
      <w:ind w:left="5760"/>
      <w:jc w:val="left"/>
    </w:p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Cs w:val="20"/>
    </w:rPr>
  </w:style>
  <w:style w:type="paragraph" w:styleId="Footer">
    <w:name w:val="footer"/>
    <w:basedOn w:val="Normal"/>
    <w:link w:val="FooterChar"/>
    <w:uiPriority w:val="2"/>
    <w:pPr>
      <w:tabs>
        <w:tab w:val="center" w:pos="4680"/>
        <w:tab w:val="right" w:pos="9360"/>
      </w:tabs>
    </w:pPr>
  </w:style>
  <w:style w:type="paragraph" w:styleId="Header">
    <w:name w:val="header"/>
    <w:basedOn w:val="Normal"/>
    <w:link w:val="HeaderChar"/>
    <w:uiPriority w:val="99"/>
    <w:pPr>
      <w:tabs>
        <w:tab w:val="center" w:pos="4680"/>
        <w:tab w:val="right" w:pos="9360"/>
      </w:tabs>
    </w:p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rFonts w:cs="Arial"/>
      <w:b/>
      <w:bCs/>
    </w:rPr>
  </w:style>
  <w:style w:type="paragraph" w:styleId="List">
    <w:name w:val="List"/>
    <w:basedOn w:val="Normal"/>
    <w:pPr>
      <w:spacing w:after="240"/>
      <w:ind w:left="720" w:hanging="720"/>
    </w:pPr>
  </w:style>
  <w:style w:type="paragraph" w:styleId="List2">
    <w:name w:val="List 2"/>
    <w:basedOn w:val="Normal"/>
    <w:pPr>
      <w:spacing w:after="240"/>
      <w:ind w:left="1440" w:hanging="720"/>
    </w:pPr>
  </w:style>
  <w:style w:type="paragraph" w:styleId="List3">
    <w:name w:val="List 3"/>
    <w:basedOn w:val="Normal"/>
    <w:pPr>
      <w:spacing w:after="240"/>
      <w:ind w:left="2160" w:hanging="720"/>
    </w:pPr>
  </w:style>
  <w:style w:type="paragraph" w:styleId="List4">
    <w:name w:val="List 4"/>
    <w:basedOn w:val="Normal"/>
    <w:pPr>
      <w:ind w:left="1440" w:hanging="360"/>
    </w:pPr>
  </w:style>
  <w:style w:type="paragraph" w:styleId="ListBullet">
    <w:name w:val="List Bullet"/>
    <w:basedOn w:val="Normal"/>
    <w:pPr>
      <w:numPr>
        <w:numId w:val="1"/>
      </w:numPr>
    </w:pPr>
  </w:style>
  <w:style w:type="paragraph" w:styleId="ListBullet2">
    <w:name w:val="List Bullet 2"/>
    <w:basedOn w:val="Normal"/>
    <w:pPr>
      <w:numPr>
        <w:numId w:val="2"/>
      </w:numPr>
    </w:pPr>
  </w:style>
  <w:style w:type="paragraph" w:styleId="ListBullet3">
    <w:name w:val="List Bullet 3"/>
    <w:basedOn w:val="Normal"/>
    <w:pPr>
      <w:numPr>
        <w:numId w:val="3"/>
      </w:numPr>
    </w:pPr>
  </w:style>
  <w:style w:type="paragraph" w:styleId="ListBullet4">
    <w:name w:val="List Bullet 4"/>
    <w:basedOn w:val="Normal"/>
    <w:pPr>
      <w:numPr>
        <w:numId w:val="4"/>
      </w:numPr>
    </w:pPr>
  </w:style>
  <w:style w:type="paragraph" w:styleId="ListBullet5">
    <w:name w:val="List Bullet 5"/>
    <w:basedOn w:val="Normal"/>
    <w:pPr>
      <w:numPr>
        <w:numId w:val="5"/>
      </w:numPr>
    </w:pPr>
  </w:style>
  <w:style w:type="character" w:styleId="PageNumber">
    <w:name w:val="page number"/>
    <w:basedOn w:val="DefaultParagraphFont"/>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Pr>
      <w:sz w:val="20"/>
      <w:szCs w:val="20"/>
    </w:rPr>
  </w:style>
  <w:style w:type="paragraph" w:customStyle="1" w:styleId="SignatureBlock">
    <w:name w:val="Signature Block"/>
    <w:basedOn w:val="Normal"/>
    <w:pPr>
      <w:keepNext/>
      <w:ind w:left="5040"/>
    </w:pPr>
  </w:style>
  <w:style w:type="paragraph" w:styleId="Subtitle">
    <w:name w:val="Subtitle"/>
    <w:basedOn w:val="Normal"/>
    <w:qFormat/>
    <w:pPr>
      <w:spacing w:after="240"/>
      <w:jc w:val="center"/>
      <w:outlineLvl w:val="1"/>
    </w:pPr>
    <w:rPr>
      <w:rFonts w:cs="Arial"/>
    </w:rPr>
  </w:style>
  <w:style w:type="paragraph" w:styleId="Title">
    <w:name w:val="Title"/>
    <w:basedOn w:val="Normal"/>
    <w:qFormat/>
    <w:pPr>
      <w:keepNext/>
      <w:spacing w:after="240"/>
      <w:jc w:val="center"/>
    </w:pPr>
    <w:rPr>
      <w:rFonts w:cs="Arial"/>
      <w:b/>
      <w:bCs/>
      <w:szCs w:val="32"/>
    </w:rPr>
  </w:style>
  <w:style w:type="paragraph" w:styleId="TOAHeading">
    <w:name w:val="toa heading"/>
    <w:basedOn w:val="Normal"/>
    <w:next w:val="Normal"/>
    <w:semiHidden/>
    <w:pPr>
      <w:spacing w:before="120"/>
    </w:pPr>
    <w:rPr>
      <w:rFonts w:cs="Arial"/>
      <w:b/>
      <w:bCs/>
    </w:rPr>
  </w:style>
  <w:style w:type="paragraph" w:styleId="TOC1">
    <w:name w:val="toc 1"/>
    <w:basedOn w:val="Normal"/>
    <w:next w:val="Normal"/>
    <w:autoRedefine/>
    <w:semiHidden/>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uiPriority w:val="99"/>
    <w:qFormat/>
    <w:rPr>
      <w:vertAlign w:val="superscript"/>
    </w:rPr>
  </w:style>
  <w:style w:type="paragraph" w:styleId="DocumentMap">
    <w:name w:val="Document Map"/>
    <w:basedOn w:val="Normal"/>
    <w:semiHidden/>
    <w:rsid w:val="00283C1E"/>
    <w:pPr>
      <w:shd w:val="clear" w:color="auto" w:fill="000080"/>
    </w:pPr>
    <w:rPr>
      <w:rFonts w:ascii="Tahoma" w:hAnsi="Tahoma" w:cs="Tahoma"/>
      <w:sz w:val="20"/>
      <w:szCs w:val="20"/>
    </w:rPr>
  </w:style>
  <w:style w:type="paragraph" w:customStyle="1" w:styleId="SignatureBlockRight">
    <w:name w:val="Signature Block Right"/>
    <w:aliases w:val="SBR,VE Sig Block Right"/>
    <w:basedOn w:val="Normal"/>
    <w:rsid w:val="00A76B1C"/>
    <w:pPr>
      <w:tabs>
        <w:tab w:val="left" w:pos="5040"/>
        <w:tab w:val="left" w:pos="6120"/>
        <w:tab w:val="right" w:leader="underscore" w:pos="9360"/>
      </w:tabs>
    </w:pPr>
  </w:style>
  <w:style w:type="paragraph" w:customStyle="1" w:styleId="Char4">
    <w:name w:val="Char4"/>
    <w:basedOn w:val="Normal"/>
    <w:rsid w:val="00A76B1C"/>
    <w:pPr>
      <w:tabs>
        <w:tab w:val="left" w:pos="540"/>
        <w:tab w:val="left" w:pos="1260"/>
        <w:tab w:val="left" w:pos="1800"/>
      </w:tabs>
      <w:spacing w:before="240" w:after="160" w:line="240" w:lineRule="exact"/>
      <w:jc w:val="left"/>
    </w:pPr>
    <w:rPr>
      <w:rFonts w:ascii="Verdana" w:hAnsi="Verdana"/>
      <w:szCs w:val="20"/>
    </w:rPr>
  </w:style>
  <w:style w:type="paragraph" w:customStyle="1" w:styleId="Default">
    <w:name w:val="Default"/>
    <w:rsid w:val="00924885"/>
    <w:pPr>
      <w:autoSpaceDE w:val="0"/>
      <w:autoSpaceDN w:val="0"/>
      <w:adjustRightInd w:val="0"/>
    </w:pPr>
    <w:rPr>
      <w:color w:val="000000"/>
      <w:sz w:val="24"/>
      <w:szCs w:val="24"/>
    </w:rPr>
  </w:style>
  <w:style w:type="character" w:customStyle="1" w:styleId="DeltaViewInsertion">
    <w:name w:val="DeltaView Insertion"/>
    <w:rsid w:val="00460748"/>
    <w:rPr>
      <w:b/>
      <w:bCs/>
      <w:color w:val="0000FF"/>
      <w:spacing w:val="0"/>
      <w:u w:val="double"/>
    </w:rPr>
  </w:style>
  <w:style w:type="paragraph" w:styleId="BalloonText">
    <w:name w:val="Balloon Text"/>
    <w:basedOn w:val="Normal"/>
    <w:semiHidden/>
    <w:rsid w:val="00460748"/>
    <w:rPr>
      <w:rFonts w:ascii="Tahoma" w:hAnsi="Tahoma" w:cs="Tahoma"/>
      <w:sz w:val="16"/>
      <w:szCs w:val="16"/>
    </w:rPr>
  </w:style>
  <w:style w:type="table" w:styleId="TableGrid">
    <w:name w:val="Table Grid"/>
    <w:basedOn w:val="TableNormal"/>
    <w:rsid w:val="00CB7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gBlock">
    <w:name w:val="Sig_Block"/>
    <w:basedOn w:val="Normal"/>
    <w:rsid w:val="00DC52D3"/>
    <w:pPr>
      <w:ind w:left="3600"/>
      <w:jc w:val="left"/>
    </w:pPr>
  </w:style>
  <w:style w:type="character" w:customStyle="1" w:styleId="DeltaViewDeletion">
    <w:name w:val="DeltaView Deletion"/>
    <w:rsid w:val="00936D5A"/>
    <w:rPr>
      <w:strike/>
      <w:color w:val="FF0000"/>
      <w:spacing w:val="0"/>
    </w:rPr>
  </w:style>
  <w:style w:type="paragraph" w:customStyle="1" w:styleId="Body1">
    <w:name w:val="Body 1"/>
    <w:uiPriority w:val="99"/>
    <w:rsid w:val="00587FA0"/>
    <w:rPr>
      <w:rFonts w:ascii="Helvetica" w:eastAsia="ヒラギノ角ゴ Pro W3" w:hAnsi="Helvetica"/>
      <w:color w:val="000000"/>
      <w:sz w:val="24"/>
    </w:rPr>
  </w:style>
  <w:style w:type="character" w:customStyle="1" w:styleId="HeaderChar">
    <w:name w:val="Header Char"/>
    <w:link w:val="Header"/>
    <w:uiPriority w:val="99"/>
    <w:rsid w:val="00843477"/>
    <w:rPr>
      <w:sz w:val="24"/>
      <w:szCs w:val="24"/>
    </w:rPr>
  </w:style>
  <w:style w:type="character" w:customStyle="1" w:styleId="FooterChar">
    <w:name w:val="Footer Char"/>
    <w:link w:val="Footer"/>
    <w:uiPriority w:val="2"/>
    <w:rsid w:val="001C3658"/>
    <w:rPr>
      <w:sz w:val="24"/>
      <w:szCs w:val="24"/>
    </w:rPr>
  </w:style>
  <w:style w:type="character" w:customStyle="1" w:styleId="DocID">
    <w:name w:val="DocID"/>
    <w:basedOn w:val="DefaultParagraphFont"/>
    <w:uiPriority w:val="99"/>
    <w:rsid w:val="00DF04A5"/>
    <w:rPr>
      <w:rFonts w:ascii="Times New Roman" w:hAnsi="Times New Roman" w:cs="Times New Roman"/>
      <w:b w:val="0"/>
      <w:i w:val="0"/>
      <w:caps w:val="0"/>
      <w:vanish w:val="0"/>
      <w:color w:val="000000"/>
      <w:sz w:val="18"/>
      <w:u w:val="none"/>
    </w:rPr>
  </w:style>
  <w:style w:type="character" w:styleId="CommentReference">
    <w:name w:val="annotation reference"/>
    <w:basedOn w:val="DefaultParagraphFont"/>
    <w:uiPriority w:val="99"/>
    <w:unhideWhenUsed/>
    <w:rsid w:val="000476DB"/>
    <w:rPr>
      <w:sz w:val="16"/>
      <w:szCs w:val="16"/>
    </w:rPr>
  </w:style>
  <w:style w:type="paragraph" w:styleId="CommentText">
    <w:name w:val="annotation text"/>
    <w:basedOn w:val="Normal"/>
    <w:link w:val="CommentTextChar"/>
    <w:uiPriority w:val="99"/>
    <w:unhideWhenUsed/>
    <w:rsid w:val="000476DB"/>
    <w:rPr>
      <w:sz w:val="20"/>
      <w:szCs w:val="20"/>
    </w:rPr>
  </w:style>
  <w:style w:type="character" w:customStyle="1" w:styleId="CommentTextChar">
    <w:name w:val="Comment Text Char"/>
    <w:basedOn w:val="DefaultParagraphFont"/>
    <w:link w:val="CommentText"/>
    <w:uiPriority w:val="99"/>
    <w:rsid w:val="000476DB"/>
  </w:style>
  <w:style w:type="paragraph" w:styleId="CommentSubject">
    <w:name w:val="annotation subject"/>
    <w:basedOn w:val="CommentText"/>
    <w:next w:val="CommentText"/>
    <w:link w:val="CommentSubjectChar"/>
    <w:semiHidden/>
    <w:unhideWhenUsed/>
    <w:rsid w:val="000476DB"/>
    <w:rPr>
      <w:b/>
      <w:bCs/>
    </w:rPr>
  </w:style>
  <w:style w:type="character" w:customStyle="1" w:styleId="CommentSubjectChar">
    <w:name w:val="Comment Subject Char"/>
    <w:basedOn w:val="CommentTextChar"/>
    <w:link w:val="CommentSubject"/>
    <w:semiHidden/>
    <w:rsid w:val="000476DB"/>
    <w:rPr>
      <w:b/>
      <w:bCs/>
    </w:rPr>
  </w:style>
  <w:style w:type="paragraph" w:styleId="ListParagraph">
    <w:name w:val="List Paragraph"/>
    <w:basedOn w:val="Normal"/>
    <w:uiPriority w:val="34"/>
    <w:qFormat/>
    <w:rsid w:val="00253B5D"/>
    <w:pPr>
      <w:ind w:left="720"/>
      <w:contextualSpacing/>
    </w:pPr>
  </w:style>
  <w:style w:type="character" w:customStyle="1" w:styleId="FootnoteTextChar">
    <w:name w:val="Footnote Text Char"/>
    <w:aliases w:val="Footnote Text Char Char Char,Footnote Text Char Char Char Char Char Char,Footnote Text Char Char1 Char1,Footnote Text Char Char1 Char Char,Footnote Text Char1 Char,Footnote Text Char1 Char Char Char Char,Footnote Text Char2 Char Char"/>
    <w:basedOn w:val="DefaultParagraphFont"/>
    <w:link w:val="FootnoteText"/>
    <w:uiPriority w:val="99"/>
    <w:rsid w:val="001F52E4"/>
  </w:style>
  <w:style w:type="paragraph" w:customStyle="1" w:styleId="BodyTextFirstSS">
    <w:name w:val="Body Text First SS"/>
    <w:basedOn w:val="Normal"/>
    <w:rsid w:val="00DA77D2"/>
    <w:pPr>
      <w:spacing w:after="240"/>
      <w:ind w:firstLine="720"/>
    </w:pPr>
    <w:rPr>
      <w:szCs w:val="20"/>
    </w:rPr>
  </w:style>
  <w:style w:type="paragraph" w:styleId="Signature">
    <w:name w:val="Signature"/>
    <w:basedOn w:val="Normal"/>
    <w:link w:val="SignatureChar"/>
    <w:rsid w:val="00DA77D2"/>
    <w:pPr>
      <w:ind w:left="4320"/>
      <w:jc w:val="left"/>
    </w:pPr>
    <w:rPr>
      <w:szCs w:val="20"/>
    </w:rPr>
  </w:style>
  <w:style w:type="character" w:customStyle="1" w:styleId="SignatureChar">
    <w:name w:val="Signature Char"/>
    <w:basedOn w:val="DefaultParagraphFont"/>
    <w:link w:val="Signature"/>
    <w:rsid w:val="00DA77D2"/>
    <w:rPr>
      <w:sz w:val="24"/>
    </w:rPr>
  </w:style>
  <w:style w:type="paragraph" w:customStyle="1" w:styleId="BodyText15First">
    <w:name w:val="Body Text 1.5 First"/>
    <w:basedOn w:val="Normal"/>
    <w:rsid w:val="00DA77D2"/>
    <w:pPr>
      <w:spacing w:line="360" w:lineRule="auto"/>
      <w:ind w:firstLine="720"/>
    </w:pPr>
    <w:rPr>
      <w:szCs w:val="20"/>
    </w:rPr>
  </w:style>
  <w:style w:type="character" w:styleId="Hyperlink">
    <w:name w:val="Hyperlink"/>
    <w:basedOn w:val="DefaultParagraphFont"/>
    <w:rsid w:val="00DA77D2"/>
    <w:rPr>
      <w:color w:val="0000FF" w:themeColor="hyperlink"/>
      <w:u w:val="single"/>
    </w:rPr>
  </w:style>
  <w:style w:type="paragraph" w:styleId="Revision">
    <w:name w:val="Revision"/>
    <w:hidden/>
    <w:uiPriority w:val="99"/>
    <w:semiHidden/>
    <w:rsid w:val="00222C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44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freeland@HuntonAK.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turbantke@HuntonAK.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www.imanage.com/work/xmlschema">
  <documentid>DMS!308763282.2</documentid>
  <senderid>16940</senderid>
  <senderemail>LFREELAND@HUNTON.COM</senderemail>
  <lastmodified>2024-10-17T15:11:00.0000000-05:00</lastmodified>
  <database>DMS</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 D M S ! 3 0 6 6 7 5 1 8 1 . 1 < / d o c u m e n t i d >  
     < s e n d e r i d > 2 4 9 9 1 < / s e n d e r i d >  
     < s e n d e r e m a i l > R O G E R S M @ H U N T O N A K . C O M < / s e n d e r e m a i l >  
     < l a s t m o d i f i e d > 2 0 2 4 - 0 4 - 3 0 T 1 4 : 1 5 : 0 0 . 0 0 0 0 0 0 0 - 0 4 : 0 0 < / l a s t m o d i f i e d >  
     < d a t a b a s e > D M S < / d a t a b a s e >  
 < / p r o p e r t i e s > 
</file>

<file path=customXml/itemProps1.xml><?xml version="1.0" encoding="utf-8"?>
<ds:datastoreItem xmlns:ds="http://schemas.openxmlformats.org/officeDocument/2006/customXml" ds:itemID="{3E27A6BA-BCEB-419B-BCC4-2DA094DC84FD}">
  <ds:schemaRefs>
    <ds:schemaRef ds:uri="http://www.imanage.com/work/xmlschema"/>
  </ds:schemaRefs>
</ds:datastoreItem>
</file>

<file path=customXml/itemProps2.xml><?xml version="1.0" encoding="utf-8"?>
<ds:datastoreItem xmlns:ds="http://schemas.openxmlformats.org/officeDocument/2006/customXml" ds:itemID="{6674994A-65A5-2046-BF62-081127373697}">
  <ds:schemaRefs>
    <ds:schemaRef ds:uri="http://schemas.openxmlformats.org/officeDocument/2006/bibliography"/>
  </ds:schemaRefs>
</ds:datastoreItem>
</file>

<file path=customXml/itemProps3.xml><?xml version="1.0" encoding="utf-8"?>
<ds:datastoreItem xmlns:ds="http://schemas.openxmlformats.org/officeDocument/2006/customXml" ds:itemID="{717E9DFC-882A-43AE-B521-46E9480F6C87}">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1775</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Tenorio, Stephanie</dc:creator>
  <cp:lastModifiedBy>Tenorio, Stephanie</cp:lastModifiedBy>
  <cp:revision>2</cp:revision>
  <cp:lastPrinted>2024-05-02T14:33:00Z</cp:lastPrinted>
  <dcterms:created xsi:type="dcterms:W3CDTF">2024-10-17T20:50:00Z</dcterms:created>
  <dcterms:modified xsi:type="dcterms:W3CDTF">2024-10-17T20:50:00Z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property>
</Properties>
</file>